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R4-2409596</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w:t>
      </w:r>
      <w:r>
        <w:rPr>
          <w:rFonts w:hint="eastAsia" w:ascii="Arial" w:hAnsi="Arial" w:cs="Arial"/>
          <w:b/>
          <w:sz w:val="24"/>
          <w:szCs w:val="24"/>
          <w:lang w:val="en-US" w:eastAsia="zh-CN"/>
        </w:rPr>
        <w:t>,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10.13.2.1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deployment scenarios and spectrum usage</w:t>
      </w:r>
      <w:r>
        <w:rPr>
          <w:rFonts w:hint="eastAsia" w:ascii="Arial" w:hAnsi="Arial" w:eastAsia="MS Mincho"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eastAsia"/>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 xml:space="preserve">s expected to start the normative work from this April meeting. In the last RAN4#110bis meeting, we have reached some initial consensus on the deployment scenarios and spectrum usage, however there are still some remaining issues. In this contribution, we would like to share some further views on these remaining issues.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
              <w:keepLines w:val="0"/>
              <w:suppressLineNumbers w:val="0"/>
              <w:spacing w:beforeAutospacing="0" w:afterAutospacing="0"/>
              <w:ind w:left="0" w:right="0"/>
              <w:rPr>
                <w:rFonts w:hint="default" w:ascii="Times New Roman" w:hAnsi="Times New Roman" w:eastAsia="宋体"/>
                <w:lang w:val="en-US" w:eastAsia="zh-CN"/>
              </w:rPr>
            </w:pPr>
            <w:r>
              <w:rPr>
                <w:rFonts w:hint="eastAsia" w:ascii="Times New Roman" w:hAnsi="Times New Roman"/>
                <w:lang w:val="en-US" w:eastAsia="zh-CN"/>
              </w:rPr>
              <w:t>RAN4#110bis meeting:</w:t>
            </w:r>
          </w:p>
          <w:p>
            <w:pPr>
              <w:pStyle w:val="2"/>
              <w:keepLines w:val="0"/>
              <w:suppressLineNumbers w:val="0"/>
              <w:spacing w:beforeAutospacing="0" w:afterAutospacing="0"/>
              <w:ind w:left="0" w:right="0"/>
              <w:rPr>
                <w:rFonts w:hint="default" w:ascii="Times New Roman" w:hAnsi="Times New Roman"/>
                <w:lang w:eastAsia="ja-JP"/>
              </w:rPr>
            </w:pPr>
            <w:r>
              <w:rPr>
                <w:rFonts w:hint="eastAsia" w:ascii="Times New Roman" w:hAnsi="Times New Roman"/>
                <w:lang w:eastAsia="ja-JP"/>
              </w:rPr>
              <w:t>Way forward</w:t>
            </w:r>
            <w:r>
              <w:rPr>
                <w:rFonts w:hint="eastAsia" w:ascii="Times New Roman" w:hAnsi="Times New Roman"/>
                <w:lang w:eastAsia="zh-CN"/>
              </w:rPr>
              <w:t xml:space="preserve"> for co-existence evaluation</w:t>
            </w:r>
          </w:p>
          <w:p>
            <w:pPr>
              <w:pStyle w:val="3"/>
              <w:numPr>
                <w:ilvl w:val="0"/>
                <w:numId w:val="0"/>
              </w:numPr>
              <w:suppressLineNumbers w:val="0"/>
              <w:spacing w:beforeAutospacing="0" w:afterAutospacing="0"/>
              <w:ind w:right="0"/>
              <w:rPr>
                <w:rFonts w:hint="default" w:ascii="Times New Roman" w:hAnsi="Times New Roman"/>
              </w:rPr>
            </w:pPr>
            <w:r>
              <w:rPr>
                <w:rFonts w:hint="eastAsia" w:ascii="Times New Roman" w:hAnsi="Times New Roman"/>
              </w:rPr>
              <w:t>Topic 2-1: Deployment scenario</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2-1-1: deployment scenarios for D1T1</w:t>
            </w:r>
          </w:p>
          <w:p>
            <w:pPr>
              <w:keepNext w:val="0"/>
              <w:keepLines w:val="0"/>
              <w:suppressLineNumbers w:val="0"/>
              <w:spacing w:before="0" w:beforeAutospacing="0" w:afterAutospacing="0"/>
              <w:ind w:left="0" w:right="0"/>
              <w:rPr>
                <w:rFonts w:hint="default" w:eastAsiaTheme="minorEastAsia"/>
              </w:rPr>
            </w:pPr>
            <w:r>
              <w:rPr>
                <w:rFonts w:hint="default" w:eastAsiaTheme="minorEastAsia"/>
                <w:lang w:eastAsia="zh-CN"/>
              </w:rPr>
              <w:t>O</w:t>
            </w:r>
            <w:r>
              <w:rPr>
                <w:rFonts w:hint="eastAsia" w:eastAsiaTheme="minorEastAsia"/>
                <w:lang w:eastAsia="zh-CN"/>
              </w:rPr>
              <w:t>ption 1-1: Legacy</w:t>
            </w:r>
            <w:r>
              <w:rPr>
                <w:rFonts w:hint="default" w:eastAsiaTheme="minorEastAsia"/>
                <w:lang w:eastAsia="zh-CN"/>
              </w:rPr>
              <w:t xml:space="preserve"> NR gNB are outdoor macro gNB while</w:t>
            </w:r>
            <w:r>
              <w:rPr>
                <w:rFonts w:hint="eastAsia" w:eastAsiaTheme="minorEastAsia"/>
                <w:lang w:eastAsia="zh-CN"/>
              </w:rPr>
              <w:t xml:space="preserve"> AIoT</w:t>
            </w:r>
            <w:r>
              <w:rPr>
                <w:rFonts w:hint="default" w:eastAsiaTheme="minorEastAsia"/>
                <w:lang w:eastAsia="zh-CN"/>
              </w:rPr>
              <w:t xml:space="preserve"> reader/CW/devices are all indoors. </w:t>
            </w:r>
            <w:r>
              <w:rPr>
                <w:rFonts w:hint="eastAsia" w:eastAsiaTheme="minorEastAsia"/>
                <w:lang w:eastAsia="zh-CN"/>
              </w:rPr>
              <w:t>Legacy</w:t>
            </w:r>
            <w:r>
              <w:rPr>
                <w:rFonts w:hint="default" w:eastAsiaTheme="minorEastAsia"/>
                <w:lang w:eastAsia="zh-CN"/>
              </w:rPr>
              <w:t xml:space="preserve"> NR UE is only allowed outdoors</w:t>
            </w:r>
            <w:r>
              <w:rPr>
                <w:rFonts w:hint="eastAsia" w:eastAsiaTheme="minorEastAsia"/>
                <w:lang w:eastAsia="zh-CN"/>
              </w:rPr>
              <w:t>.</w:t>
            </w:r>
          </w:p>
          <w:p>
            <w:pPr>
              <w:keepNext w:val="0"/>
              <w:keepLines w:val="0"/>
              <w:suppressLineNumbers w:val="0"/>
              <w:spacing w:before="0" w:beforeAutospacing="0" w:afterAutospacing="0"/>
              <w:ind w:left="0" w:right="0"/>
              <w:rPr>
                <w:rFonts w:hint="default" w:eastAsiaTheme="minorEastAsia"/>
              </w:rPr>
            </w:pPr>
            <w:r>
              <w:rPr>
                <w:rFonts w:hint="eastAsia" w:eastAsiaTheme="minorEastAsia"/>
                <w:lang w:eastAsia="zh-CN"/>
              </w:rPr>
              <w:t>Option 1-2: Legacy</w:t>
            </w:r>
            <w:r>
              <w:rPr>
                <w:rFonts w:hint="default" w:eastAsiaTheme="minorEastAsia"/>
                <w:lang w:eastAsia="zh-CN"/>
              </w:rPr>
              <w:t xml:space="preserve"> NR gNB are outdoor macro gNB while</w:t>
            </w:r>
            <w:r>
              <w:rPr>
                <w:rFonts w:hint="eastAsia" w:eastAsiaTheme="minorEastAsia"/>
                <w:lang w:eastAsia="zh-CN"/>
              </w:rPr>
              <w:t xml:space="preserve"> AIoT</w:t>
            </w:r>
            <w:r>
              <w:rPr>
                <w:rFonts w:hint="default" w:eastAsiaTheme="minorEastAsia"/>
                <w:lang w:eastAsia="zh-CN"/>
              </w:rPr>
              <w:t xml:space="preserve"> reader/CW/devices are all indoors. </w:t>
            </w:r>
            <w:r>
              <w:rPr>
                <w:rFonts w:hint="eastAsia" w:eastAsiaTheme="minorEastAsia"/>
                <w:lang w:eastAsia="zh-CN"/>
              </w:rPr>
              <w:t>Legacy</w:t>
            </w:r>
            <w:r>
              <w:rPr>
                <w:rFonts w:hint="default" w:eastAsiaTheme="minorEastAsia"/>
                <w:lang w:eastAsia="zh-CN"/>
              </w:rPr>
              <w:t xml:space="preserve"> NR UE is indoor accessing to outdoor </w:t>
            </w:r>
            <w:r>
              <w:rPr>
                <w:rFonts w:hint="eastAsia" w:eastAsiaTheme="minorEastAsia"/>
                <w:lang w:eastAsia="zh-CN"/>
              </w:rPr>
              <w:t xml:space="preserve">NR </w:t>
            </w:r>
            <w:r>
              <w:rPr>
                <w:rFonts w:hint="default" w:eastAsiaTheme="minorEastAsia"/>
                <w:lang w:eastAsia="zh-CN"/>
              </w:rPr>
              <w:t>marco gNB</w:t>
            </w:r>
          </w:p>
          <w:p>
            <w:pPr>
              <w:keepNext w:val="0"/>
              <w:keepLines w:val="0"/>
              <w:suppressLineNumbers w:val="0"/>
              <w:spacing w:before="0" w:beforeAutospacing="0" w:afterAutospacing="0"/>
              <w:ind w:left="0" w:right="0"/>
              <w:rPr>
                <w:rFonts w:hint="default" w:eastAsiaTheme="minorEastAsia"/>
                <w:lang w:val="en-US" w:eastAsia="zh-CN"/>
              </w:rPr>
            </w:pPr>
            <w:r>
              <w:rPr>
                <w:rFonts w:hint="eastAsia" w:eastAsiaTheme="minorEastAsia"/>
                <w:lang w:val="en-US" w:eastAsia="zh-CN"/>
              </w:rPr>
              <w:t>Option 2-1:</w:t>
            </w:r>
            <w:r>
              <w:rPr>
                <w:rFonts w:hint="default"/>
              </w:rPr>
              <w:t xml:space="preserve"> </w:t>
            </w:r>
            <w:r>
              <w:rPr>
                <w:rFonts w:hint="eastAsia" w:eastAsiaTheme="minorEastAsia"/>
                <w:lang w:eastAsia="zh-CN"/>
              </w:rPr>
              <w:t>Legacy</w:t>
            </w:r>
            <w:r>
              <w:rPr>
                <w:rFonts w:hint="default" w:eastAsiaTheme="minorEastAsia"/>
                <w:lang w:val="en-US" w:eastAsia="zh-CN"/>
              </w:rPr>
              <w:t xml:space="preserve"> NR gNB are co-located with </w:t>
            </w:r>
            <w:r>
              <w:rPr>
                <w:rFonts w:hint="eastAsia" w:eastAsiaTheme="minorEastAsia"/>
                <w:lang w:val="en-US" w:eastAsia="zh-CN"/>
              </w:rPr>
              <w:t>AIoT reader and CW</w:t>
            </w:r>
            <w:r>
              <w:rPr>
                <w:rFonts w:hint="default" w:eastAsiaTheme="minorEastAsia"/>
                <w:lang w:val="en-US" w:eastAsia="zh-CN"/>
              </w:rPr>
              <w:t>. All</w:t>
            </w:r>
            <w:r>
              <w:rPr>
                <w:rFonts w:hint="eastAsia" w:eastAsiaTheme="minorEastAsia"/>
                <w:lang w:val="en-US" w:eastAsia="zh-CN"/>
              </w:rPr>
              <w:t xml:space="preserve"> of NR and AIoT BS/UE/Reader/Device/CW</w:t>
            </w:r>
            <w:r>
              <w:rPr>
                <w:rFonts w:hint="default" w:eastAsiaTheme="minorEastAsia"/>
                <w:lang w:val="en-US" w:eastAsia="zh-CN"/>
              </w:rPr>
              <w:t xml:space="preserve"> are indoors.</w:t>
            </w:r>
            <w:r>
              <w:rPr>
                <w:rFonts w:hint="eastAsia" w:eastAsiaTheme="minorEastAsia"/>
                <w:lang w:val="en-US" w:eastAsia="zh-CN"/>
              </w:rPr>
              <w:t xml:space="preserve"> AIoT </w:t>
            </w:r>
            <w:r>
              <w:rPr>
                <w:rFonts w:hint="eastAsia" w:eastAsiaTheme="minorEastAsia"/>
                <w:lang w:eastAsia="zh-CN"/>
              </w:rPr>
              <w:t>r</w:t>
            </w:r>
            <w:r>
              <w:rPr>
                <w:rFonts w:hint="default" w:eastAsiaTheme="minorEastAsia"/>
                <w:lang w:eastAsia="zh-CN"/>
              </w:rPr>
              <w:t xml:space="preserve">eader /CW and </w:t>
            </w:r>
            <w:r>
              <w:rPr>
                <w:rFonts w:hint="eastAsia" w:eastAsiaTheme="minorEastAsia"/>
                <w:lang w:eastAsia="zh-CN"/>
              </w:rPr>
              <w:t>Legacy</w:t>
            </w:r>
            <w:r>
              <w:rPr>
                <w:rFonts w:hint="default" w:eastAsiaTheme="minorEastAsia"/>
                <w:lang w:eastAsia="zh-CN"/>
              </w:rPr>
              <w:t xml:space="preserve"> gNB</w:t>
            </w:r>
            <w:r>
              <w:rPr>
                <w:rFonts w:hint="eastAsia" w:eastAsiaTheme="minorEastAsia"/>
                <w:lang w:eastAsia="zh-CN"/>
              </w:rPr>
              <w:t xml:space="preserve"> </w:t>
            </w:r>
            <w:r>
              <w:rPr>
                <w:rFonts w:hint="default" w:eastAsiaTheme="minorEastAsia"/>
                <w:lang w:eastAsia="zh-CN"/>
              </w:rPr>
              <w:t>share same hardware</w:t>
            </w:r>
          </w:p>
          <w:p>
            <w:pPr>
              <w:keepNext w:val="0"/>
              <w:keepLines w:val="0"/>
              <w:suppressLineNumbers w:val="0"/>
              <w:spacing w:before="0" w:beforeAutospacing="0" w:afterAutospacing="0"/>
              <w:ind w:left="0" w:right="0"/>
              <w:rPr>
                <w:rFonts w:hint="default" w:eastAsiaTheme="minorEastAsia"/>
                <w:highlight w:val="yellow"/>
                <w:lang w:val="en-US" w:eastAsia="zh-CN"/>
              </w:rPr>
            </w:pPr>
            <w:r>
              <w:rPr>
                <w:rFonts w:hint="eastAsia" w:eastAsiaTheme="minorEastAsia"/>
                <w:lang w:val="en-US" w:eastAsia="zh-CN"/>
              </w:rPr>
              <w:t>Option 2-2:</w:t>
            </w:r>
            <w:r>
              <w:rPr>
                <w:rFonts w:hint="default"/>
              </w:rPr>
              <w:t xml:space="preserve"> </w:t>
            </w:r>
            <w:r>
              <w:rPr>
                <w:rFonts w:hint="eastAsia" w:eastAsiaTheme="minorEastAsia"/>
                <w:lang w:eastAsia="zh-CN"/>
              </w:rPr>
              <w:t>Legacy</w:t>
            </w:r>
            <w:r>
              <w:rPr>
                <w:rFonts w:hint="default" w:eastAsiaTheme="minorEastAsia"/>
                <w:lang w:val="en-US" w:eastAsia="zh-CN"/>
              </w:rPr>
              <w:t xml:space="preserve"> NR gNB are co-located with </w:t>
            </w:r>
            <w:r>
              <w:rPr>
                <w:rFonts w:hint="eastAsia" w:eastAsiaTheme="minorEastAsia"/>
                <w:lang w:val="en-US" w:eastAsia="zh-CN"/>
              </w:rPr>
              <w:t>AIoT reader and CW</w:t>
            </w:r>
            <w:r>
              <w:rPr>
                <w:rFonts w:hint="default" w:eastAsiaTheme="minorEastAsia"/>
                <w:lang w:val="en-US" w:eastAsia="zh-CN"/>
              </w:rPr>
              <w:t xml:space="preserve">. All </w:t>
            </w:r>
            <w:r>
              <w:rPr>
                <w:rFonts w:hint="eastAsia" w:eastAsiaTheme="minorEastAsia"/>
                <w:lang w:val="en-US" w:eastAsia="zh-CN"/>
              </w:rPr>
              <w:t>of NR and AIoT BS/UE/Reader/Device/CW</w:t>
            </w:r>
            <w:r>
              <w:rPr>
                <w:rFonts w:hint="default" w:eastAsiaTheme="minorEastAsia"/>
                <w:lang w:val="en-US" w:eastAsia="zh-CN"/>
              </w:rPr>
              <w:t xml:space="preserve"> are indoors.</w:t>
            </w:r>
            <w:r>
              <w:rPr>
                <w:rFonts w:hint="eastAsia" w:eastAsiaTheme="minorEastAsia"/>
                <w:lang w:val="en-US" w:eastAsia="zh-CN"/>
              </w:rPr>
              <w:t xml:space="preserve"> </w:t>
            </w:r>
            <w:r>
              <w:rPr>
                <w:rFonts w:hint="eastAsia" w:eastAsiaTheme="minorEastAsia"/>
                <w:highlight w:val="yellow"/>
                <w:lang w:val="en-US" w:eastAsia="zh-CN"/>
              </w:rPr>
              <w:t>AIoT</w:t>
            </w:r>
            <w:r>
              <w:rPr>
                <w:rFonts w:hint="default" w:eastAsiaTheme="minorEastAsia"/>
                <w:highlight w:val="yellow"/>
                <w:lang w:eastAsia="zh-CN"/>
              </w:rPr>
              <w:t xml:space="preserve"> </w:t>
            </w:r>
            <w:r>
              <w:rPr>
                <w:rFonts w:hint="eastAsia" w:eastAsiaTheme="minorEastAsia"/>
                <w:highlight w:val="yellow"/>
                <w:lang w:eastAsia="zh-CN"/>
              </w:rPr>
              <w:t>r</w:t>
            </w:r>
            <w:r>
              <w:rPr>
                <w:rFonts w:hint="default" w:eastAsiaTheme="minorEastAsia"/>
                <w:highlight w:val="yellow"/>
                <w:lang w:eastAsia="zh-CN"/>
              </w:rPr>
              <w:t xml:space="preserve">eader /CW and </w:t>
            </w:r>
            <w:r>
              <w:rPr>
                <w:rFonts w:hint="eastAsia" w:eastAsiaTheme="minorEastAsia"/>
                <w:highlight w:val="yellow"/>
                <w:lang w:eastAsia="zh-CN"/>
              </w:rPr>
              <w:t>Legacy</w:t>
            </w:r>
            <w:r>
              <w:rPr>
                <w:rFonts w:hint="default" w:eastAsiaTheme="minorEastAsia"/>
                <w:highlight w:val="yellow"/>
                <w:lang w:eastAsia="zh-CN"/>
              </w:rPr>
              <w:t xml:space="preserve"> </w:t>
            </w:r>
            <w:r>
              <w:rPr>
                <w:rFonts w:hint="eastAsia" w:eastAsiaTheme="minorEastAsia"/>
                <w:highlight w:val="yellow"/>
                <w:lang w:eastAsia="zh-CN"/>
              </w:rPr>
              <w:t xml:space="preserve">NR </w:t>
            </w:r>
            <w:r>
              <w:rPr>
                <w:rFonts w:hint="default" w:eastAsiaTheme="minorEastAsia"/>
                <w:highlight w:val="yellow"/>
                <w:lang w:eastAsia="zh-CN"/>
              </w:rPr>
              <w:t xml:space="preserve">gNB </w:t>
            </w:r>
            <w:r>
              <w:rPr>
                <w:rFonts w:hint="eastAsia" w:eastAsiaTheme="minorEastAsia"/>
                <w:highlight w:val="yellow"/>
                <w:lang w:eastAsia="zh-CN"/>
              </w:rPr>
              <w:t>do not</w:t>
            </w:r>
            <w:r>
              <w:rPr>
                <w:rFonts w:hint="default" w:eastAsiaTheme="minorEastAsia"/>
                <w:highlight w:val="yellow"/>
                <w:lang w:eastAsia="zh-CN"/>
              </w:rPr>
              <w:t xml:space="preserve"> share same hardware</w:t>
            </w:r>
            <w:r>
              <w:rPr>
                <w:rFonts w:hint="eastAsia" w:eastAsiaTheme="minorEastAsia"/>
                <w:highlight w:val="yellow"/>
                <w:lang w:val="en-US" w:eastAsia="zh-CN"/>
              </w:rPr>
              <w:t>. (less limitation on the power boosting)</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p>
          <w:p>
            <w:pPr>
              <w:pStyle w:val="37"/>
              <w:keepNext w:val="0"/>
              <w:keepLines w:val="0"/>
              <w:numPr>
                <w:ilvl w:val="0"/>
                <w:numId w:val="2"/>
              </w:numPr>
              <w:suppressLineNumbers w:val="0"/>
              <w:spacing w:before="0" w:beforeAutospacing="0" w:afterAutospacing="0"/>
              <w:ind w:right="0" w:firstLineChars="0"/>
              <w:rPr>
                <w:rFonts w:hint="default" w:eastAsiaTheme="minorEastAsia"/>
              </w:rPr>
            </w:pPr>
            <w:r>
              <w:rPr>
                <w:rFonts w:hint="eastAsia" w:eastAsiaTheme="minorEastAsia"/>
              </w:rPr>
              <w:t xml:space="preserve">RAN4 to </w:t>
            </w:r>
            <w:r>
              <w:rPr>
                <w:rFonts w:hint="default" w:eastAsiaTheme="minorEastAsia"/>
              </w:rPr>
              <w:t>first</w:t>
            </w:r>
            <w:r>
              <w:rPr>
                <w:rFonts w:hint="eastAsia" w:eastAsiaTheme="minorEastAsia"/>
              </w:rPr>
              <w:t xml:space="preserve"> evaluate co-existence for deployment scenario of option 1-1 and 1-2, and further study option 2-1 and 2-2.</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2-1-2: deployment scenarios for D2T2</w:t>
            </w:r>
          </w:p>
          <w:p>
            <w:pPr>
              <w:keepNext w:val="0"/>
              <w:keepLines w:val="0"/>
              <w:suppressLineNumbers w:val="0"/>
              <w:spacing w:before="0" w:beforeAutospacing="0" w:afterAutospacing="0"/>
              <w:ind w:left="0" w:right="0"/>
              <w:rPr>
                <w:rFonts w:hint="default" w:eastAsiaTheme="minorEastAsia"/>
              </w:rPr>
            </w:pPr>
            <w:r>
              <w:rPr>
                <w:rFonts w:hint="eastAsia" w:eastAsiaTheme="minorEastAsia"/>
                <w:lang w:eastAsia="zh-CN"/>
              </w:rPr>
              <w:t>Option 1-1:  Legacy</w:t>
            </w:r>
            <w:r>
              <w:rPr>
                <w:rFonts w:hint="default" w:eastAsiaTheme="minorEastAsia"/>
                <w:lang w:eastAsia="zh-CN"/>
              </w:rPr>
              <w:t xml:space="preserve"> N</w:t>
            </w:r>
            <w:r>
              <w:rPr>
                <w:rFonts w:hint="eastAsia" w:eastAsiaTheme="minorEastAsia"/>
                <w:lang w:eastAsia="zh-CN"/>
              </w:rPr>
              <w:t>R</w:t>
            </w:r>
            <w:r>
              <w:rPr>
                <w:rFonts w:hint="default" w:eastAsiaTheme="minorEastAsia"/>
                <w:lang w:eastAsia="zh-CN"/>
              </w:rPr>
              <w:t xml:space="preserve"> gNB are outdoor macro gNB, </w:t>
            </w:r>
            <w:r>
              <w:rPr>
                <w:rFonts w:hint="eastAsia" w:eastAsiaTheme="minorEastAsia"/>
                <w:lang w:eastAsia="zh-CN"/>
              </w:rPr>
              <w:t xml:space="preserve">AIoT </w:t>
            </w:r>
            <w:r>
              <w:rPr>
                <w:rFonts w:hint="default" w:eastAsiaTheme="minorEastAsia"/>
                <w:lang w:eastAsia="zh-CN"/>
              </w:rPr>
              <w:t xml:space="preserve">intermediate UE/CW/devices are all indoors. </w:t>
            </w:r>
            <w:r>
              <w:rPr>
                <w:rFonts w:hint="eastAsia" w:eastAsiaTheme="minorEastAsia"/>
                <w:lang w:eastAsia="zh-CN"/>
              </w:rPr>
              <w:t>Legacy</w:t>
            </w:r>
            <w:r>
              <w:rPr>
                <w:rFonts w:hint="default" w:eastAsiaTheme="minorEastAsia"/>
                <w:lang w:eastAsia="zh-CN"/>
              </w:rPr>
              <w:t xml:space="preserve"> NR UE is only allowed outdoor.</w:t>
            </w:r>
          </w:p>
          <w:p>
            <w:pPr>
              <w:keepNext w:val="0"/>
              <w:keepLines w:val="0"/>
              <w:suppressLineNumbers w:val="0"/>
              <w:spacing w:before="0" w:beforeAutospacing="0" w:afterAutospacing="0"/>
              <w:ind w:left="0" w:right="0"/>
              <w:rPr>
                <w:rFonts w:hint="default" w:eastAsiaTheme="minorEastAsia"/>
              </w:rPr>
            </w:pPr>
            <w:r>
              <w:rPr>
                <w:rFonts w:hint="eastAsia" w:eastAsiaTheme="minorEastAsia"/>
                <w:lang w:eastAsia="zh-CN"/>
              </w:rPr>
              <w:t>Option 1-2:  Legacy</w:t>
            </w:r>
            <w:r>
              <w:rPr>
                <w:rFonts w:hint="default" w:eastAsiaTheme="minorEastAsia"/>
              </w:rPr>
              <w:t xml:space="preserve"> N</w:t>
            </w:r>
            <w:r>
              <w:rPr>
                <w:rFonts w:hint="eastAsia" w:eastAsiaTheme="minorEastAsia"/>
                <w:lang w:eastAsia="zh-CN"/>
              </w:rPr>
              <w:t>R</w:t>
            </w:r>
            <w:r>
              <w:rPr>
                <w:rFonts w:hint="default" w:eastAsiaTheme="minorEastAsia"/>
              </w:rPr>
              <w:t xml:space="preserve"> gNB are outdoor macro gNB, </w:t>
            </w:r>
            <w:r>
              <w:rPr>
                <w:rFonts w:hint="eastAsia" w:eastAsiaTheme="minorEastAsia"/>
                <w:lang w:eastAsia="zh-CN"/>
              </w:rPr>
              <w:t xml:space="preserve">AIoT </w:t>
            </w:r>
            <w:r>
              <w:rPr>
                <w:rFonts w:hint="default" w:eastAsiaTheme="minorEastAsia"/>
              </w:rPr>
              <w:t xml:space="preserve">intermediate UE/CW/devices are all indoors. </w:t>
            </w:r>
            <w:r>
              <w:rPr>
                <w:rFonts w:hint="eastAsia" w:eastAsiaTheme="minorEastAsia"/>
                <w:lang w:eastAsia="zh-CN"/>
              </w:rPr>
              <w:t>Legacy</w:t>
            </w:r>
            <w:r>
              <w:rPr>
                <w:rFonts w:hint="default" w:eastAsiaTheme="minorEastAsia"/>
              </w:rPr>
              <w:t xml:space="preserve"> NR UE is indoor.</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p>
          <w:p>
            <w:pPr>
              <w:pStyle w:val="37"/>
              <w:keepNext w:val="0"/>
              <w:keepLines w:val="0"/>
              <w:numPr>
                <w:ilvl w:val="0"/>
                <w:numId w:val="2"/>
              </w:numPr>
              <w:suppressLineNumbers w:val="0"/>
              <w:spacing w:before="0" w:beforeAutospacing="0" w:afterAutospacing="0"/>
              <w:ind w:right="0" w:firstLineChars="0"/>
              <w:rPr>
                <w:rFonts w:hint="default" w:eastAsiaTheme="minorEastAsia"/>
              </w:rPr>
            </w:pPr>
            <w:r>
              <w:rPr>
                <w:rFonts w:hint="eastAsia" w:eastAsiaTheme="minorEastAsia"/>
              </w:rPr>
              <w:t xml:space="preserve">For D2T2 co-existence evaluation, </w:t>
            </w:r>
            <w:r>
              <w:rPr>
                <w:rFonts w:hint="eastAsia" w:eastAsiaTheme="minorEastAsia"/>
                <w:lang w:eastAsia="zh-CN"/>
              </w:rPr>
              <w:t>Legacy</w:t>
            </w:r>
            <w:r>
              <w:rPr>
                <w:rFonts w:hint="default" w:eastAsiaTheme="minorEastAsia"/>
              </w:rPr>
              <w:t xml:space="preserve"> NR gNB are outdoor macro gNB</w:t>
            </w:r>
            <w:r>
              <w:rPr>
                <w:rFonts w:hint="eastAsia" w:eastAsiaTheme="minorEastAsia"/>
              </w:rPr>
              <w:t xml:space="preserve">, </w:t>
            </w:r>
            <w:r>
              <w:rPr>
                <w:rFonts w:hint="eastAsia" w:eastAsiaTheme="minorEastAsia"/>
                <w:lang w:eastAsia="zh-CN"/>
              </w:rPr>
              <w:t xml:space="preserve">AIoT </w:t>
            </w:r>
            <w:r>
              <w:rPr>
                <w:rFonts w:hint="eastAsia" w:eastAsiaTheme="minorEastAsia"/>
              </w:rPr>
              <w:t>intermediate UE/CW/devices are all indoors.</w:t>
            </w:r>
          </w:p>
          <w:p>
            <w:pPr>
              <w:pStyle w:val="37"/>
              <w:keepNext w:val="0"/>
              <w:keepLines w:val="0"/>
              <w:numPr>
                <w:ilvl w:val="1"/>
                <w:numId w:val="2"/>
              </w:numPr>
              <w:suppressLineNumbers w:val="0"/>
              <w:spacing w:before="0" w:beforeAutospacing="0" w:afterAutospacing="0"/>
              <w:ind w:right="0" w:firstLineChars="0"/>
              <w:rPr>
                <w:rFonts w:hint="default" w:eastAsiaTheme="minorEastAsia"/>
              </w:rPr>
            </w:pPr>
            <w:r>
              <w:rPr>
                <w:rFonts w:hint="default" w:eastAsiaTheme="minorEastAsia"/>
              </w:rPr>
              <w:t>Consider option 1-1 and option 1-2 as the starting point</w:t>
            </w:r>
          </w:p>
          <w:p>
            <w:pPr>
              <w:keepNext w:val="0"/>
              <w:keepLines w:val="0"/>
              <w:suppressLineNumbers w:val="0"/>
              <w:spacing w:before="0" w:beforeAutospacing="0" w:afterAutospacing="0"/>
              <w:ind w:left="0" w:right="0"/>
              <w:rPr>
                <w:rFonts w:hint="default" w:eastAsiaTheme="minorEastAsia"/>
                <w:lang w:val="en-US" w:eastAsia="zh-CN"/>
              </w:rPr>
            </w:pPr>
          </w:p>
          <w:p>
            <w:pPr>
              <w:pStyle w:val="3"/>
              <w:numPr>
                <w:ilvl w:val="0"/>
                <w:numId w:val="0"/>
              </w:numPr>
              <w:suppressLineNumbers w:val="0"/>
              <w:spacing w:beforeAutospacing="0" w:afterAutospacing="0"/>
              <w:ind w:right="0"/>
              <w:rPr>
                <w:rFonts w:hint="default" w:ascii="Times New Roman" w:hAnsi="Times New Roman"/>
              </w:rPr>
            </w:pPr>
            <w:r>
              <w:rPr>
                <w:rFonts w:hint="eastAsia" w:ascii="Times New Roman" w:hAnsi="Times New Roman"/>
              </w:rPr>
              <w:t>Topic 2-2: Spectrum usage</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2-2-1: Spectrum usage for R2D in D1T1</w:t>
            </w:r>
          </w:p>
          <w:p>
            <w:pPr>
              <w:keepNext w:val="0"/>
              <w:keepLines w:val="0"/>
              <w:suppressLineNumbers w:val="0"/>
              <w:spacing w:before="0" w:beforeAutospacing="0" w:afterAutospacing="0"/>
              <w:ind w:left="0" w:right="0"/>
              <w:rPr>
                <w:rFonts w:hint="default" w:eastAsiaTheme="minorEastAsia"/>
                <w:lang w:val="en-US" w:eastAsia="zh-CN"/>
              </w:rPr>
            </w:pPr>
            <w:r>
              <w:rPr>
                <w:rFonts w:hint="eastAsia" w:eastAsiaTheme="minorEastAsia"/>
                <w:lang w:val="en-US" w:eastAsia="zh-CN"/>
              </w:rPr>
              <w:t>Option 1: FDD DL spectrum for R2D</w:t>
            </w:r>
          </w:p>
          <w:p>
            <w:pPr>
              <w:keepNext w:val="0"/>
              <w:keepLines w:val="0"/>
              <w:suppressLineNumbers w:val="0"/>
              <w:spacing w:before="0" w:beforeAutospacing="0" w:afterAutospacing="0"/>
              <w:ind w:left="0" w:right="0"/>
              <w:rPr>
                <w:rFonts w:hint="default" w:eastAsiaTheme="minorEastAsia"/>
                <w:lang w:val="en-US" w:eastAsia="zh-CN"/>
              </w:rPr>
            </w:pPr>
            <w:r>
              <w:rPr>
                <w:rFonts w:hint="eastAsia" w:eastAsiaTheme="minorEastAsia"/>
                <w:lang w:val="en-US" w:eastAsia="zh-CN"/>
              </w:rPr>
              <w:t>Option 2: FDD UL spectrum for R2D</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 xml:space="preserve">greement: </w:t>
            </w:r>
          </w:p>
          <w:p>
            <w:pPr>
              <w:pStyle w:val="37"/>
              <w:keepNext w:val="0"/>
              <w:keepLines w:val="0"/>
              <w:numPr>
                <w:ilvl w:val="0"/>
                <w:numId w:val="3"/>
              </w:numPr>
              <w:suppressLineNumbers w:val="0"/>
              <w:spacing w:before="0" w:beforeAutospacing="0" w:afterAutospacing="0"/>
              <w:ind w:right="0" w:firstLineChars="0"/>
              <w:rPr>
                <w:rFonts w:hint="default" w:eastAsiaTheme="minorEastAsia"/>
              </w:rPr>
            </w:pPr>
            <w:r>
              <w:rPr>
                <w:rFonts w:hint="default" w:eastAsiaTheme="minorEastAsia"/>
              </w:rPr>
              <w:t xml:space="preserve">FFS on whether to </w:t>
            </w:r>
            <w:r>
              <w:rPr>
                <w:rFonts w:hint="eastAsia" w:eastAsiaTheme="minorEastAsia"/>
              </w:rPr>
              <w:t>prioritize FDD DL spectrum for R2D for D1T1</w:t>
            </w:r>
            <w:r>
              <w:rPr>
                <w:rFonts w:hint="default" w:eastAsiaTheme="minorEastAsia"/>
              </w:rPr>
              <w:t xml:space="preserve"> for co-existence evaluation.</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2-2-2: Spectrum usage for CW transmission in D1T1 f</w:t>
            </w:r>
            <w:r>
              <w:rPr>
                <w:rFonts w:hint="default" w:eastAsiaTheme="minorEastAsia"/>
                <w:b/>
                <w:bCs/>
                <w:u w:val="single"/>
                <w:lang w:val="en-US" w:eastAsia="zh-CN"/>
              </w:rPr>
              <w:t>or the case that D2R backscattering is transmitted in the same carrier as CW for D2R backscattering</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default" w:eastAsia="+mn-ea"/>
                <w:color w:val="000000"/>
                <w:kern w:val="24"/>
                <w:sz w:val="21"/>
                <w:szCs w:val="21"/>
                <w:lang w:val="en-US" w:eastAsia="zh-CN"/>
              </w:rPr>
              <w:t>For the case that D2R backscattering is transmitted in the same carrier as CW for D2R backscattering, and for topology 1, the following cases for CW transmission are studied.</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1-1: CW is transmitted from inside the topology, transmitted in DL spectrum</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1-2: CW is transmitted from inside the topology, transmitted in UL spectrum</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1-4: CW is transmitted from outside the topology, transmitted in UL spectrum</w:t>
            </w:r>
          </w:p>
          <w:p>
            <w:pPr>
              <w:keepNext w:val="0"/>
              <w:keepLines w:val="0"/>
              <w:suppressLineNumbers w:val="0"/>
              <w:spacing w:before="0" w:beforeAutospacing="0" w:after="0" w:afterAutospacing="0"/>
              <w:ind w:left="0" w:right="0"/>
              <w:rPr>
                <w:rFonts w:hint="default" w:eastAsiaTheme="minorEastAsia"/>
                <w:color w:val="000000"/>
                <w:kern w:val="24"/>
                <w:sz w:val="21"/>
                <w:szCs w:val="21"/>
                <w:lang w:val="en-US" w:eastAsia="zh-CN"/>
              </w:rPr>
            </w:pP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p>
          <w:p>
            <w:pPr>
              <w:pStyle w:val="37"/>
              <w:keepNext w:val="0"/>
              <w:keepLines w:val="0"/>
              <w:numPr>
                <w:ilvl w:val="0"/>
                <w:numId w:val="3"/>
              </w:numPr>
              <w:suppressLineNumbers w:val="0"/>
              <w:spacing w:before="0" w:beforeAutospacing="0" w:afterAutospacing="0"/>
              <w:ind w:right="0" w:firstLineChars="0"/>
              <w:rPr>
                <w:rFonts w:hint="default" w:eastAsia="+mn-ea"/>
                <w:color w:val="000000"/>
                <w:kern w:val="24"/>
              </w:rPr>
            </w:pPr>
            <w:r>
              <w:rPr>
                <w:rFonts w:hint="default" w:eastAsia="+mn-ea"/>
                <w:color w:val="000000"/>
                <w:kern w:val="24"/>
              </w:rPr>
              <w:t>For the case that D2R backscattering is transmitted in the same carrier as CW for D2R backscattering, consider the following for co-existence evaluation</w:t>
            </w:r>
          </w:p>
          <w:p>
            <w:pPr>
              <w:pStyle w:val="37"/>
              <w:keepNext w:val="0"/>
              <w:keepLines w:val="0"/>
              <w:numPr>
                <w:ilvl w:val="1"/>
                <w:numId w:val="3"/>
              </w:numPr>
              <w:suppressLineNumbers w:val="0"/>
              <w:spacing w:before="0" w:beforeAutospacing="0" w:afterAutospacing="0"/>
              <w:ind w:right="0" w:firstLineChars="0"/>
              <w:rPr>
                <w:rFonts w:hint="default" w:eastAsia="+mn-ea"/>
                <w:color w:val="000000"/>
                <w:kern w:val="24"/>
              </w:rPr>
            </w:pPr>
            <w:r>
              <w:rPr>
                <w:rFonts w:hint="default" w:eastAsiaTheme="minorEastAsia"/>
                <w:color w:val="000000"/>
                <w:kern w:val="24"/>
              </w:rPr>
              <w:t>CW transmits in either UL or DL spectrum</w:t>
            </w:r>
          </w:p>
          <w:p>
            <w:pPr>
              <w:pStyle w:val="37"/>
              <w:keepNext w:val="0"/>
              <w:keepLines w:val="0"/>
              <w:numPr>
                <w:ilvl w:val="1"/>
                <w:numId w:val="3"/>
              </w:numPr>
              <w:suppressLineNumbers w:val="0"/>
              <w:spacing w:before="0" w:beforeAutospacing="0" w:afterAutospacing="0"/>
              <w:ind w:right="0" w:firstLineChars="0"/>
              <w:rPr>
                <w:rFonts w:hint="default" w:eastAsia="+mn-ea"/>
                <w:color w:val="000000"/>
                <w:kern w:val="24"/>
              </w:rPr>
            </w:pPr>
            <w:r>
              <w:rPr>
                <w:rFonts w:hint="eastAsia" w:eastAsiaTheme="minorEastAsia"/>
                <w:color w:val="000000"/>
                <w:kern w:val="24"/>
              </w:rPr>
              <w:t>F</w:t>
            </w:r>
            <w:r>
              <w:rPr>
                <w:rFonts w:hint="default" w:eastAsiaTheme="minorEastAsia"/>
                <w:color w:val="000000"/>
                <w:kern w:val="24"/>
              </w:rPr>
              <w:t>FS on inside topology and outside topology.</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2-2-4: Spectrum usage for R2D in D2T2</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greement:</w:t>
            </w:r>
            <w:r>
              <w:rPr>
                <w:rFonts w:hint="eastAsia" w:eastAsiaTheme="minorEastAsia"/>
                <w:b/>
                <w:bCs/>
                <w:lang w:val="en-US" w:eastAsia="zh-CN"/>
              </w:rPr>
              <w:t xml:space="preserve"> </w:t>
            </w:r>
          </w:p>
          <w:p>
            <w:pPr>
              <w:pStyle w:val="37"/>
              <w:keepNext w:val="0"/>
              <w:keepLines w:val="0"/>
              <w:numPr>
                <w:ilvl w:val="0"/>
                <w:numId w:val="4"/>
              </w:numPr>
              <w:suppressLineNumbers w:val="0"/>
              <w:spacing w:before="0" w:beforeAutospacing="0" w:afterAutospacing="0"/>
              <w:ind w:right="0" w:firstLineChars="0"/>
              <w:rPr>
                <w:rFonts w:hint="default" w:eastAsia="+mn-ea"/>
                <w:color w:val="000000"/>
                <w:kern w:val="24"/>
              </w:rPr>
            </w:pPr>
            <w:r>
              <w:rPr>
                <w:rFonts w:hint="eastAsia" w:eastAsia="+mn-ea"/>
                <w:color w:val="000000"/>
                <w:kern w:val="24"/>
              </w:rPr>
              <w:t>Use FDD UL spectrum for R2D in D2T2.</w:t>
            </w:r>
          </w:p>
          <w:p>
            <w:pPr>
              <w:keepNext w:val="0"/>
              <w:keepLines w:val="0"/>
              <w:suppressLineNumbers w:val="0"/>
              <w:spacing w:before="0" w:beforeAutospacing="0" w:afterAutospacing="0"/>
              <w:ind w:left="0" w:right="0"/>
              <w:rPr>
                <w:rFonts w:hint="default" w:eastAsiaTheme="minorEastAsia"/>
                <w:lang w:eastAsia="zh-CN"/>
              </w:rPr>
            </w:pP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2-2-5: Spectrum usage for CW transmission in D2T2 f</w:t>
            </w:r>
            <w:r>
              <w:rPr>
                <w:rFonts w:hint="default" w:eastAsiaTheme="minorEastAsia"/>
                <w:b/>
                <w:bCs/>
                <w:u w:val="single"/>
                <w:lang w:val="en-US" w:eastAsia="zh-CN"/>
              </w:rPr>
              <w:t>or the case that D2R backscattering is transmitted in the same carrier as CW for D2R backscattering</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color w:val="000000"/>
                <w:kern w:val="24"/>
                <w:sz w:val="21"/>
                <w:szCs w:val="21"/>
                <w:lang w:val="en-US" w:eastAsia="zh-CN"/>
              </w:rPr>
              <w:t>· Case 2-2: CW is transmitted from inside the topology (i.e., intermediate UE), transmitted in UL spectrum</w:t>
            </w:r>
          </w:p>
          <w:p>
            <w:pPr>
              <w:keepNext w:val="0"/>
              <w:keepLines w:val="0"/>
              <w:suppressLineNumbers w:val="0"/>
              <w:spacing w:before="0" w:beforeAutospacing="0" w:after="0" w:afterAutospacing="0"/>
              <w:ind w:left="0" w:right="0"/>
              <w:rPr>
                <w:rFonts w:hint="default" w:ascii="宋体" w:hAnsi="宋体" w:cs="宋体"/>
                <w:lang w:val="en-US" w:eastAsia="zh-CN"/>
              </w:rPr>
            </w:pPr>
            <w:r>
              <w:rPr>
                <w:rFonts w:hint="default" w:eastAsia="+mn-ea"/>
                <w:kern w:val="24"/>
                <w:sz w:val="21"/>
                <w:szCs w:val="21"/>
                <w:lang w:val="en-US" w:eastAsia="zh-CN"/>
              </w:rPr>
              <w:t xml:space="preserve">· Case 2-3: CW is transmitted from outside the topology, transmitted in DL spectrum </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default" w:eastAsia="+mn-ea"/>
                <w:color w:val="000000"/>
                <w:kern w:val="24"/>
                <w:sz w:val="21"/>
                <w:szCs w:val="21"/>
                <w:lang w:val="en-US" w:eastAsia="zh-CN"/>
              </w:rPr>
              <w:t>· Case 2-4: CW is transmitted from outside the topology, transmitted in UL spectrum</w:t>
            </w:r>
          </w:p>
          <w:p>
            <w:pPr>
              <w:keepNext w:val="0"/>
              <w:keepLines w:val="0"/>
              <w:suppressLineNumbers w:val="0"/>
              <w:spacing w:before="0" w:beforeAutospacing="0" w:afterAutospacing="0"/>
              <w:ind w:left="0" w:right="0"/>
              <w:rPr>
                <w:rFonts w:hint="default" w:eastAsiaTheme="minorEastAsia"/>
                <w:b/>
                <w:bCs/>
                <w:lang w:val="en-US" w:eastAsia="zh-CN"/>
              </w:rPr>
            </w:pPr>
            <w:r>
              <w:rPr>
                <w:rFonts w:hint="eastAsia" w:eastAsiaTheme="minorEastAsia"/>
                <w:b/>
                <w:bCs/>
                <w:lang w:val="en-US" w:eastAsia="zh-CN"/>
              </w:rPr>
              <w:t>A</w:t>
            </w:r>
            <w:r>
              <w:rPr>
                <w:rFonts w:hint="default" w:eastAsiaTheme="minorEastAsia"/>
                <w:b/>
                <w:bCs/>
                <w:lang w:val="en-US" w:eastAsia="zh-CN"/>
              </w:rPr>
              <w:t xml:space="preserve">greement: </w:t>
            </w:r>
          </w:p>
          <w:p>
            <w:pPr>
              <w:pStyle w:val="37"/>
              <w:keepNext w:val="0"/>
              <w:keepLines w:val="0"/>
              <w:numPr>
                <w:ilvl w:val="0"/>
                <w:numId w:val="4"/>
              </w:numPr>
              <w:suppressLineNumbers w:val="0"/>
              <w:spacing w:before="0" w:beforeAutospacing="0" w:afterAutospacing="0"/>
              <w:ind w:right="0" w:firstLineChars="0"/>
              <w:rPr>
                <w:rFonts w:hint="default" w:eastAsiaTheme="minorEastAsia"/>
              </w:rPr>
            </w:pPr>
            <w:r>
              <w:rPr>
                <w:rFonts w:hint="default" w:eastAsia="+mn-ea"/>
                <w:color w:val="000000"/>
                <w:kern w:val="24"/>
              </w:rPr>
              <w:t>For the case that D2R backscattering is transmitted in the same carrier as CW for D2R backscattering</w:t>
            </w:r>
          </w:p>
          <w:p>
            <w:pPr>
              <w:pStyle w:val="37"/>
              <w:keepNext w:val="0"/>
              <w:keepLines w:val="0"/>
              <w:numPr>
                <w:ilvl w:val="1"/>
                <w:numId w:val="2"/>
              </w:numPr>
              <w:suppressLineNumbers w:val="0"/>
              <w:spacing w:before="0" w:beforeAutospacing="0" w:afterAutospacing="0"/>
              <w:ind w:right="0" w:firstLineChars="0"/>
              <w:rPr>
                <w:rFonts w:hint="default" w:eastAsiaTheme="minorEastAsia"/>
              </w:rPr>
            </w:pPr>
            <w:r>
              <w:rPr>
                <w:rFonts w:hint="default" w:eastAsiaTheme="minorEastAsia"/>
              </w:rPr>
              <w:t>Use UL spectrum as the starting point for co-existence evaluation.</w:t>
            </w:r>
          </w:p>
          <w:p>
            <w:pPr>
              <w:pStyle w:val="37"/>
              <w:keepNext w:val="0"/>
              <w:keepLines w:val="0"/>
              <w:numPr>
                <w:ilvl w:val="2"/>
                <w:numId w:val="4"/>
              </w:numPr>
              <w:suppressLineNumbers w:val="0"/>
              <w:spacing w:before="0" w:beforeAutospacing="0" w:afterAutospacing="0"/>
              <w:ind w:right="0" w:firstLineChars="0"/>
              <w:rPr>
                <w:rFonts w:hint="default" w:eastAsiaTheme="minorEastAsia"/>
              </w:rPr>
            </w:pPr>
            <w:r>
              <w:rPr>
                <w:rFonts w:hint="eastAsia" w:eastAsiaTheme="minorEastAsia"/>
              </w:rPr>
              <w:t>I</w:t>
            </w:r>
            <w:r>
              <w:rPr>
                <w:rFonts w:hint="default" w:eastAsiaTheme="minorEastAsia"/>
              </w:rPr>
              <w:t>t won’t preclude the use of DL for backscattering transmission.</w:t>
            </w:r>
          </w:p>
          <w:p>
            <w:pPr>
              <w:pStyle w:val="37"/>
              <w:keepNext w:val="0"/>
              <w:keepLines w:val="0"/>
              <w:numPr>
                <w:ilvl w:val="2"/>
                <w:numId w:val="4"/>
              </w:numPr>
              <w:suppressLineNumbers w:val="0"/>
              <w:spacing w:before="0" w:beforeAutospacing="0" w:afterAutospacing="0"/>
              <w:ind w:right="0" w:firstLineChars="0"/>
              <w:rPr>
                <w:rFonts w:hint="default" w:eastAsiaTheme="minorEastAsia"/>
              </w:rPr>
            </w:pPr>
            <w:r>
              <w:rPr>
                <w:rFonts w:hint="default" w:eastAsiaTheme="minorEastAsia"/>
              </w:rPr>
              <w:t>FFS on the minimum distance between the intermediate UE and A-IoT device</w:t>
            </w:r>
          </w:p>
          <w:p>
            <w:pPr>
              <w:pStyle w:val="3"/>
              <w:numPr>
                <w:ilvl w:val="0"/>
                <w:numId w:val="0"/>
              </w:numPr>
              <w:suppressLineNumbers w:val="0"/>
              <w:spacing w:beforeAutospacing="0" w:afterAutospacing="0"/>
              <w:ind w:right="0"/>
              <w:rPr>
                <w:rFonts w:hint="default" w:ascii="Times New Roman" w:hAnsi="Times New Roman"/>
              </w:rPr>
            </w:pPr>
            <w:r>
              <w:rPr>
                <w:rFonts w:hint="eastAsia" w:ascii="Times New Roman" w:hAnsi="Times New Roman"/>
              </w:rPr>
              <w:t>Topic 2-3: Spectrum deployment mode</w:t>
            </w:r>
          </w:p>
          <w:p>
            <w:pPr>
              <w:keepNext w:val="0"/>
              <w:keepLines w:val="0"/>
              <w:suppressLineNumbers w:val="0"/>
              <w:spacing w:before="0" w:beforeAutospacing="0" w:afterAutospacing="0"/>
              <w:ind w:left="0" w:right="0"/>
              <w:rPr>
                <w:rFonts w:hint="default" w:eastAsiaTheme="minorEastAsia"/>
                <w:b/>
                <w:bCs/>
                <w:u w:val="single"/>
                <w:lang w:val="en-US" w:eastAsia="zh-CN"/>
              </w:rPr>
            </w:pPr>
            <w:r>
              <w:rPr>
                <w:rFonts w:hint="eastAsia" w:eastAsiaTheme="minorEastAsia"/>
                <w:b/>
                <w:bCs/>
                <w:u w:val="single"/>
                <w:lang w:val="en-US" w:eastAsia="zh-CN"/>
              </w:rPr>
              <w:t>Issue 2-3-2: Priorities of spectrum deployment mode for co-existence evaluation</w:t>
            </w:r>
          </w:p>
          <w:p>
            <w:pPr>
              <w:keepNext w:val="0"/>
              <w:keepLines w:val="0"/>
              <w:suppressLineNumbers w:val="0"/>
              <w:spacing w:before="0" w:beforeAutospacing="0" w:afterAutospacing="0"/>
              <w:ind w:left="0" w:right="0"/>
              <w:rPr>
                <w:rFonts w:hint="default"/>
                <w:b/>
                <w:bCs/>
                <w:lang w:val="en-US" w:eastAsia="zh-CN"/>
              </w:rPr>
            </w:pPr>
            <w:r>
              <w:rPr>
                <w:rFonts w:hint="eastAsia"/>
                <w:b/>
                <w:bCs/>
                <w:lang w:val="en-US" w:eastAsia="zh-CN"/>
              </w:rPr>
              <w:t>A</w:t>
            </w:r>
            <w:r>
              <w:rPr>
                <w:rFonts w:hint="default"/>
                <w:b/>
                <w:bCs/>
                <w:lang w:val="en-US" w:eastAsia="zh-CN"/>
              </w:rPr>
              <w:t>greement:</w:t>
            </w:r>
          </w:p>
          <w:p>
            <w:pPr>
              <w:pStyle w:val="37"/>
              <w:keepNext w:val="0"/>
              <w:keepLines w:val="0"/>
              <w:numPr>
                <w:ilvl w:val="0"/>
                <w:numId w:val="5"/>
              </w:numPr>
              <w:suppressLineNumbers w:val="0"/>
              <w:spacing w:before="0" w:beforeAutospacing="0" w:afterAutospacing="0"/>
              <w:ind w:right="0" w:firstLineChars="0"/>
              <w:rPr>
                <w:rFonts w:hint="default"/>
              </w:rPr>
            </w:pPr>
            <w:r>
              <w:rPr>
                <w:rFonts w:hint="eastAsia"/>
              </w:rPr>
              <w:t>P</w:t>
            </w:r>
            <w:r>
              <w:rPr>
                <w:rFonts w:hint="default"/>
              </w:rPr>
              <w:t xml:space="preserve">rioritize the following spectrum deployment mode for </w:t>
            </w:r>
            <w:r>
              <w:rPr>
                <w:rFonts w:hint="eastAsia" w:eastAsiaTheme="minorEastAsia"/>
                <w:lang w:eastAsia="zh-CN"/>
              </w:rPr>
              <w:t xml:space="preserve">RAN4 </w:t>
            </w:r>
            <w:r>
              <w:rPr>
                <w:rFonts w:hint="default"/>
              </w:rPr>
              <w:t>co-existence evaluation</w:t>
            </w:r>
          </w:p>
          <w:p>
            <w:pPr>
              <w:pStyle w:val="37"/>
              <w:keepNext w:val="0"/>
              <w:keepLines w:val="0"/>
              <w:numPr>
                <w:ilvl w:val="1"/>
                <w:numId w:val="2"/>
              </w:numPr>
              <w:suppressLineNumbers w:val="0"/>
              <w:spacing w:before="0" w:beforeAutospacing="0" w:afterAutospacing="0"/>
              <w:ind w:right="0" w:firstLineChars="0"/>
              <w:rPr>
                <w:rFonts w:hint="default" w:eastAsiaTheme="minorEastAsia"/>
              </w:rPr>
            </w:pPr>
            <w:r>
              <w:rPr>
                <w:rFonts w:hint="default" w:eastAsiaTheme="minorEastAsia"/>
              </w:rPr>
              <w:t>A-IoT is located within a NR transmission bandwidth configuration</w:t>
            </w:r>
          </w:p>
          <w:p>
            <w:pPr>
              <w:pStyle w:val="37"/>
              <w:keepNext w:val="0"/>
              <w:keepLines w:val="0"/>
              <w:numPr>
                <w:ilvl w:val="1"/>
                <w:numId w:val="2"/>
              </w:numPr>
              <w:suppressLineNumbers w:val="0"/>
              <w:spacing w:before="0" w:beforeAutospacing="0" w:afterAutospacing="0"/>
              <w:ind w:right="0" w:firstLineChars="0"/>
              <w:rPr>
                <w:rFonts w:hint="default"/>
                <w:vertAlign w:val="baseline"/>
                <w:lang w:val="en-US" w:eastAsia="zh-CN"/>
              </w:rPr>
            </w:pPr>
            <w:r>
              <w:rPr>
                <w:rFonts w:hint="eastAsia" w:eastAsiaTheme="minorEastAsia"/>
              </w:rPr>
              <w:t>A</w:t>
            </w:r>
            <w:r>
              <w:rPr>
                <w:rFonts w:hint="default" w:eastAsiaTheme="minorEastAsia"/>
              </w:rPr>
              <w:t>-IoT which is operating indoor shares in-band spectrum with outdoor macro BS</w:t>
            </w:r>
          </w:p>
        </w:tc>
      </w:tr>
    </w:tbl>
    <w:p>
      <w:pPr>
        <w:pStyle w:val="58"/>
        <w:tabs>
          <w:tab w:val="left" w:pos="567"/>
          <w:tab w:val="clear" w:pos="1985"/>
        </w:tabs>
        <w:adjustRightInd w:val="0"/>
        <w:ind w:left="510" w:hanging="510"/>
        <w:rPr>
          <w:rFonts w:eastAsia="Times New Roman"/>
        </w:rPr>
      </w:pPr>
      <w:bookmarkStart w:id="1" w:name="OLE_LINK13"/>
      <w:bookmarkStart w:id="2" w:name="OLE_LINK14"/>
      <w:bookmarkStart w:id="3" w:name="OLE_LINK10"/>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pStyle w:val="58"/>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 xml:space="preserve">2.1. Deployment scenarios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2"/>
        <w:rPr>
          <w:rFonts w:hint="default" w:ascii="Arial" w:hAnsi="Arial" w:cs="Arial"/>
          <w:sz w:val="24"/>
          <w:szCs w:val="24"/>
          <w:lang w:val="en-US" w:eastAsia="zh-CN"/>
        </w:rPr>
      </w:pPr>
      <w:r>
        <w:rPr>
          <w:rFonts w:hint="default" w:ascii="Arial" w:hAnsi="Arial" w:cs="Arial"/>
          <w:sz w:val="24"/>
          <w:szCs w:val="24"/>
          <w:lang w:val="en-US" w:eastAsia="zh-CN"/>
        </w:rPr>
        <w:t>2.1.1  Deployment scenarios for D1T1</w:t>
      </w:r>
    </w:p>
    <w:p>
      <w:pPr>
        <w:tabs>
          <w:tab w:val="left" w:pos="2127"/>
        </w:tabs>
        <w:spacing w:after="0"/>
        <w:rPr>
          <w:rFonts w:hint="eastAsia"/>
          <w:lang w:val="en-US" w:eastAsia="zh-CN"/>
        </w:rPr>
      </w:pPr>
      <w:r>
        <w:rPr>
          <w:rFonts w:hint="eastAsia"/>
          <w:lang w:val="en-US" w:eastAsia="zh-CN"/>
        </w:rPr>
        <w:t xml:space="preserve">Regarding the deployment for D1T1, it was agreed to prioritize option 1-1 and 1-2 and further discuss the option 1-3 and 1-4. </w:t>
      </w:r>
    </w:p>
    <w:p>
      <w:pPr>
        <w:tabs>
          <w:tab w:val="left" w:pos="2127"/>
        </w:tabs>
        <w:spacing w:after="0"/>
        <w:rPr>
          <w:rFonts w:hint="eastAsia"/>
          <w:lang w:val="en-US" w:eastAsia="zh-CN"/>
        </w:rPr>
      </w:pPr>
      <w:r>
        <w:rPr>
          <w:rFonts w:hint="eastAsia"/>
          <w:lang w:val="en-US" w:eastAsia="zh-CN"/>
        </w:rPr>
        <w:t>For the option 1-1, the legacy UE to be coexisting with is assumed to be outdoors based on the assumptions without 900MHz indoor BS deployed in some operator</w:t>
      </w:r>
      <w:r>
        <w:rPr>
          <w:rFonts w:hint="default"/>
          <w:lang w:val="en-US" w:eastAsia="zh-CN"/>
        </w:rPr>
        <w:t>’</w:t>
      </w:r>
      <w:r>
        <w:rPr>
          <w:rFonts w:hint="eastAsia"/>
          <w:lang w:val="en-US" w:eastAsia="zh-CN"/>
        </w:rPr>
        <w:t>s commercial network, however even without any 900MHz indoor BS deployed, the legacy UE is still supposed to continue the L3 measurements at 900MHz frequency and L3 measurement at other frequency (e.g. 2.6GHz) once entering the indoor scenarios and handover to the targeted frequency according to the network handover strategy. In addition, the legacy UE might also need to continue the L3 measurement at 900MHz frequency in case of leaving the indoor scenario to outdoor scenario or channel quality of indoor might be too poor for connection due to the indoor blockage. In other words, option 1-2 should be taken into account by default even under the deployment assumption for option 1-1.</w:t>
      </w:r>
    </w:p>
    <w:p>
      <w:pPr>
        <w:tabs>
          <w:tab w:val="left" w:pos="2127"/>
        </w:tabs>
        <w:spacing w:after="0"/>
        <w:rPr>
          <w:rFonts w:hint="eastAsia"/>
          <w:lang w:val="en-US" w:eastAsia="zh-CN"/>
        </w:rPr>
      </w:pPr>
      <w:r>
        <w:rPr>
          <w:rFonts w:hint="eastAsia"/>
          <w:b/>
          <w:bCs/>
          <w:lang w:val="en-US" w:eastAsia="zh-CN"/>
        </w:rPr>
        <w:t>Proposal 1</w:t>
      </w:r>
      <w:r>
        <w:rPr>
          <w:rFonts w:hint="eastAsia"/>
          <w:lang w:val="en-US" w:eastAsia="zh-CN"/>
        </w:rPr>
        <w:t xml:space="preserve">: for D1T1 deployment scenario, Option 1-2 should be taken into account as baseline even under the assumptions of without 900MHz indoor BS deployed. </w:t>
      </w:r>
    </w:p>
    <w:p>
      <w:pPr>
        <w:tabs>
          <w:tab w:val="left" w:pos="2127"/>
        </w:tabs>
        <w:spacing w:after="0"/>
        <w:rPr>
          <w:rFonts w:hint="default"/>
          <w:lang w:val="en-US" w:eastAsia="zh-CN"/>
        </w:rPr>
      </w:pPr>
    </w:p>
    <w:p>
      <w:pPr>
        <w:tabs>
          <w:tab w:val="left" w:pos="2127"/>
        </w:tabs>
        <w:spacing w:after="0"/>
        <w:rPr>
          <w:rFonts w:hint="eastAsia"/>
          <w:lang w:val="en-US" w:eastAsia="zh-CN"/>
        </w:rPr>
      </w:pPr>
      <w:r>
        <w:rPr>
          <w:rFonts w:hint="eastAsia"/>
          <w:lang w:val="en-US" w:eastAsia="zh-CN"/>
        </w:rPr>
        <w:t>For the option 2-1 and 2-2, based on the deployment scenarios captured in the A-IoT WID, the co-site deployment between A-IoT BS and NR/LTE BS should be considered at least. In addition, it is valid without any 900MHz indoor BS deployment for some operators, however this might be not applicable for other operators, and A-IoT system might also operate at other frequency range with indoor deployment e.g. 2GHz according to some operator</w:t>
      </w:r>
      <w:r>
        <w:rPr>
          <w:rFonts w:hint="default"/>
          <w:lang w:val="en-US" w:eastAsia="zh-CN"/>
        </w:rPr>
        <w:t>’</w:t>
      </w:r>
      <w:r>
        <w:rPr>
          <w:rFonts w:hint="eastAsia"/>
          <w:lang w:val="en-US" w:eastAsia="zh-CN"/>
        </w:rPr>
        <w:t xml:space="preserve">s request. Based on above considerations, option 2-1 and 2-2 should be also considered.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numPr>
                <w:ilvl w:val="0"/>
                <w:numId w:val="6"/>
              </w:numPr>
              <w:suppressLineNumbers w:val="0"/>
              <w:tabs>
                <w:tab w:val="left" w:pos="720"/>
              </w:tabs>
              <w:overflowPunct w:val="0"/>
              <w:autoSpaceDE w:val="0"/>
              <w:autoSpaceDN w:val="0"/>
              <w:adjustRightInd w:val="0"/>
              <w:spacing w:before="0" w:beforeAutospacing="0" w:after="120" w:afterAutospacing="0"/>
              <w:ind w:left="720" w:right="-96" w:hanging="360"/>
              <w:jc w:val="both"/>
              <w:rPr>
                <w:rFonts w:hint="default" w:ascii="Times New Roman" w:hAnsi="Times New Roman" w:eastAsia="宋体" w:cs="Times New Roman"/>
                <w:sz w:val="20"/>
                <w:szCs w:val="20"/>
                <w:lang w:val="en-US"/>
              </w:rPr>
            </w:pPr>
            <w:bookmarkStart w:id="5" w:name="_Hlk160560296"/>
            <w:r>
              <w:rPr>
                <w:rFonts w:hint="default" w:ascii="Times New Roman" w:hAnsi="Times New Roman" w:eastAsia="宋体" w:cs="Times New Roman"/>
                <w:sz w:val="20"/>
                <w:szCs w:val="20"/>
                <w:lang w:val="en-US"/>
              </w:rPr>
              <w:t>Deployment Scenarios with the following characteristics, referenced to the tables in Clause 4.2.2 of TR 38.848:</w:t>
            </w:r>
          </w:p>
          <w:p>
            <w:pPr>
              <w:pStyle w:val="22"/>
              <w:keepNext w:val="0"/>
              <w:keepLines w:val="0"/>
              <w:widowControl/>
              <w:numPr>
                <w:ilvl w:val="0"/>
                <w:numId w:val="7"/>
              </w:numPr>
              <w:suppressLineNumbers w:val="0"/>
              <w:overflowPunct w:val="0"/>
              <w:autoSpaceDE w:val="0"/>
              <w:autoSpaceDN w:val="0"/>
              <w:adjustRightInd w:val="0"/>
              <w:spacing w:before="0" w:beforeAutospacing="0" w:after="180" w:afterAutospacing="0"/>
              <w:ind w:left="1080" w:right="0" w:hanging="360"/>
              <w:jc w:val="left"/>
              <w:rPr>
                <w:rFonts w:hint="default"/>
                <w:lang w:val="en-US"/>
              </w:rPr>
            </w:pPr>
            <w:r>
              <w:rPr>
                <w:rFonts w:hint="default" w:ascii="Times New Roman" w:hAnsi="Times New Roman" w:eastAsia="等线" w:cs="Times New Roman"/>
                <w:kern w:val="0"/>
                <w:sz w:val="20"/>
                <w:szCs w:val="20"/>
                <w:lang w:val="en-US" w:eastAsia="zh-CN" w:bidi="ar"/>
              </w:rPr>
              <w:t>Deployment scenario 1 with Topology 1</w:t>
            </w:r>
          </w:p>
          <w:p>
            <w:pPr>
              <w:pStyle w:val="22"/>
              <w:keepNext w:val="0"/>
              <w:keepLines w:val="0"/>
              <w:widowControl/>
              <w:numPr>
                <w:ilvl w:val="1"/>
                <w:numId w:val="7"/>
              </w:numPr>
              <w:suppressLineNumbers w:val="0"/>
              <w:overflowPunct w:val="0"/>
              <w:autoSpaceDE w:val="0"/>
              <w:autoSpaceDN w:val="0"/>
              <w:adjustRightInd w:val="0"/>
              <w:spacing w:before="0" w:beforeAutospacing="0" w:after="180" w:afterAutospacing="0"/>
              <w:ind w:left="1800" w:right="0" w:hanging="360"/>
              <w:jc w:val="left"/>
              <w:rPr>
                <w:rFonts w:hint="default"/>
                <w:highlight w:val="yellow"/>
                <w:lang w:val="en-US"/>
              </w:rPr>
            </w:pPr>
            <w:r>
              <w:rPr>
                <w:rFonts w:hint="default" w:ascii="Times New Roman" w:hAnsi="Times New Roman" w:eastAsia="等线" w:cs="Times New Roman"/>
                <w:kern w:val="0"/>
                <w:sz w:val="20"/>
                <w:szCs w:val="20"/>
                <w:highlight w:val="yellow"/>
                <w:lang w:val="en-US" w:eastAsia="zh-CN" w:bidi="ar"/>
              </w:rPr>
              <w:t>Basestation and coexistence characteristics: Micro-cell, co-site</w:t>
            </w:r>
          </w:p>
          <w:p>
            <w:pPr>
              <w:pStyle w:val="22"/>
              <w:keepNext w:val="0"/>
              <w:keepLines w:val="0"/>
              <w:widowControl/>
              <w:numPr>
                <w:ilvl w:val="0"/>
                <w:numId w:val="7"/>
              </w:numPr>
              <w:suppressLineNumbers w:val="0"/>
              <w:overflowPunct w:val="0"/>
              <w:autoSpaceDE w:val="0"/>
              <w:autoSpaceDN w:val="0"/>
              <w:adjustRightInd w:val="0"/>
              <w:spacing w:before="0" w:beforeAutospacing="0" w:after="180" w:afterAutospacing="0"/>
              <w:ind w:left="1080" w:right="0" w:hanging="360"/>
              <w:jc w:val="left"/>
              <w:rPr>
                <w:rFonts w:hint="default"/>
                <w:lang w:val="en-US"/>
              </w:rPr>
            </w:pPr>
            <w:r>
              <w:rPr>
                <w:rFonts w:hint="default" w:ascii="Times New Roman" w:hAnsi="Times New Roman" w:eastAsia="等线" w:cs="Times New Roman"/>
                <w:kern w:val="0"/>
                <w:sz w:val="20"/>
                <w:szCs w:val="20"/>
                <w:lang w:val="en-US" w:eastAsia="zh-CN" w:bidi="ar"/>
              </w:rPr>
              <w:t xml:space="preserve">  Deployment scenario 2 with Topology 2 and UE as intermediate node, under network control</w:t>
            </w:r>
          </w:p>
          <w:p>
            <w:pPr>
              <w:pStyle w:val="22"/>
              <w:keepNext w:val="0"/>
              <w:keepLines w:val="0"/>
              <w:widowControl/>
              <w:numPr>
                <w:ilvl w:val="1"/>
                <w:numId w:val="7"/>
              </w:numPr>
              <w:suppressLineNumbers w:val="0"/>
              <w:overflowPunct w:val="0"/>
              <w:autoSpaceDE w:val="0"/>
              <w:autoSpaceDN w:val="0"/>
              <w:adjustRightInd w:val="0"/>
              <w:spacing w:before="0" w:beforeAutospacing="0" w:after="180" w:afterAutospacing="0"/>
              <w:ind w:left="1800" w:right="0" w:hanging="360"/>
              <w:jc w:val="left"/>
              <w:rPr>
                <w:rFonts w:hint="default"/>
                <w:lang w:val="en-US"/>
              </w:rPr>
            </w:pPr>
            <w:r>
              <w:rPr>
                <w:rFonts w:hint="default" w:ascii="Times New Roman" w:hAnsi="Times New Roman" w:eastAsia="等线" w:cs="Times New Roman"/>
                <w:kern w:val="0"/>
                <w:sz w:val="20"/>
                <w:szCs w:val="20"/>
                <w:lang w:val="en-US" w:eastAsia="zh-CN" w:bidi="ar"/>
              </w:rPr>
              <w:t>Basestation and coexistence characteristics: Macro-cell, co-site</w:t>
            </w:r>
          </w:p>
          <w:p>
            <w:pPr>
              <w:pStyle w:val="22"/>
              <w:keepNext w:val="0"/>
              <w:keepLines w:val="0"/>
              <w:widowControl/>
              <w:numPr>
                <w:ilvl w:val="1"/>
                <w:numId w:val="7"/>
              </w:numPr>
              <w:suppressLineNumbers w:val="0"/>
              <w:overflowPunct w:val="0"/>
              <w:autoSpaceDE w:val="0"/>
              <w:autoSpaceDN w:val="0"/>
              <w:adjustRightInd w:val="0"/>
              <w:spacing w:before="0" w:beforeAutospacing="0" w:after="180" w:afterAutospacing="0"/>
              <w:ind w:left="1800" w:right="0" w:hanging="360"/>
              <w:jc w:val="left"/>
              <w:rPr>
                <w:rFonts w:hint="default"/>
                <w:vertAlign w:val="baseline"/>
                <w:lang w:val="en-US" w:eastAsia="zh-CN"/>
              </w:rPr>
            </w:pPr>
            <w:r>
              <w:rPr>
                <w:rFonts w:hint="default" w:ascii="Times New Roman" w:hAnsi="Times New Roman" w:eastAsia="等线" w:cs="Times New Roman"/>
                <w:kern w:val="0"/>
                <w:sz w:val="20"/>
                <w:szCs w:val="20"/>
                <w:lang w:val="en-US" w:eastAsia="zh-CN" w:bidi="ar"/>
              </w:rPr>
              <w:t>The location of intermediate node is indoor</w:t>
            </w:r>
            <w:bookmarkEnd w:id="5"/>
          </w:p>
        </w:tc>
      </w:tr>
    </w:tbl>
    <w:p>
      <w:pPr>
        <w:tabs>
          <w:tab w:val="left" w:pos="2127"/>
        </w:tabs>
        <w:spacing w:after="0"/>
        <w:rPr>
          <w:rFonts w:hint="default"/>
          <w:lang w:val="en-US" w:eastAsia="zh-CN"/>
        </w:rPr>
      </w:pPr>
      <w:r>
        <w:rPr>
          <w:rFonts w:hint="eastAsia"/>
          <w:b/>
          <w:bCs/>
          <w:lang w:val="en-US" w:eastAsia="zh-CN"/>
        </w:rPr>
        <w:t>Proposal 2</w:t>
      </w:r>
      <w:r>
        <w:rPr>
          <w:rFonts w:hint="eastAsia"/>
          <w:lang w:val="en-US" w:eastAsia="zh-CN"/>
        </w:rPr>
        <w:t xml:space="preserve">: for D1T1 deployment scenario, Option 2-1 and 2-2 should be also considered according to the WID description. </w:t>
      </w:r>
    </w:p>
    <w:p>
      <w:pPr>
        <w:tabs>
          <w:tab w:val="left" w:pos="2127"/>
        </w:tabs>
        <w:spacing w:after="0"/>
        <w:rPr>
          <w:rFonts w:hint="eastAsia"/>
          <w:lang w:val="en-US" w:eastAsia="zh-CN"/>
        </w:rPr>
      </w:pPr>
    </w:p>
    <w:p>
      <w:pPr>
        <w:tabs>
          <w:tab w:val="left" w:pos="2127"/>
        </w:tabs>
        <w:spacing w:after="0"/>
        <w:rPr>
          <w:rFonts w:hint="default"/>
          <w:lang w:val="en-US" w:eastAsia="zh-CN"/>
        </w:rPr>
      </w:pPr>
      <w:r>
        <w:rPr>
          <w:rFonts w:hint="eastAsia"/>
          <w:lang w:val="en-US" w:eastAsia="zh-CN"/>
        </w:rPr>
        <w:t>Regarding the difference between option 2-1 and 2-2, from our understanding, it</w:t>
      </w:r>
      <w:r>
        <w:rPr>
          <w:rFonts w:hint="default"/>
          <w:lang w:val="en-US" w:eastAsia="zh-CN"/>
        </w:rPr>
        <w:t>’</w:t>
      </w:r>
      <w:r>
        <w:rPr>
          <w:rFonts w:hint="eastAsia"/>
          <w:lang w:val="en-US" w:eastAsia="zh-CN"/>
        </w:rPr>
        <w:t xml:space="preserve">s highly dependent on the required power boosting level for A-IoT carriers/PRBs. Option 2-2 without any power limitation should be worst case from adjacent channel leakage perspective. </w:t>
      </w:r>
    </w:p>
    <w:p>
      <w:pPr>
        <w:tabs>
          <w:tab w:val="left" w:pos="2127"/>
        </w:tabs>
        <w:spacing w:after="0"/>
        <w:rPr>
          <w:rFonts w:hint="default"/>
          <w:lang w:val="en-US" w:eastAsia="zh-CN"/>
        </w:rPr>
      </w:pPr>
      <w:r>
        <w:rPr>
          <w:rFonts w:hint="eastAsia"/>
          <w:b/>
          <w:bCs/>
          <w:lang w:val="en-US" w:eastAsia="zh-CN"/>
        </w:rPr>
        <w:t>Proposal 3</w:t>
      </w:r>
      <w:r>
        <w:rPr>
          <w:rFonts w:hint="eastAsia"/>
          <w:lang w:val="en-US" w:eastAsia="zh-CN"/>
        </w:rPr>
        <w:t xml:space="preserve">: for D1T1 deployment scenario, Option 2-2 could be treated as worse case compared with option 2-1. </w:t>
      </w:r>
    </w:p>
    <w:p>
      <w:pPr>
        <w:tabs>
          <w:tab w:val="left" w:pos="2127"/>
        </w:tabs>
        <w:spacing w:after="0"/>
        <w:rPr>
          <w:rFonts w:hint="default"/>
          <w:lang w:val="en-US" w:eastAsia="zh-CN"/>
        </w:rPr>
      </w:pP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outlineLvl w:val="2"/>
        <w:rPr>
          <w:rFonts w:hint="default" w:ascii="Arial" w:hAnsi="Arial" w:cs="Arial"/>
          <w:sz w:val="24"/>
          <w:szCs w:val="24"/>
          <w:lang w:val="en-US" w:eastAsia="zh-CN"/>
        </w:rPr>
      </w:pPr>
      <w:r>
        <w:rPr>
          <w:rFonts w:hint="eastAsia" w:ascii="Arial" w:hAnsi="Arial" w:cs="Arial"/>
          <w:sz w:val="24"/>
          <w:szCs w:val="24"/>
          <w:lang w:val="en-US" w:eastAsia="zh-CN"/>
        </w:rPr>
        <w:t>2.1.2  Deployment scenarios for D2T2</w:t>
      </w:r>
    </w:p>
    <w:p>
      <w:pPr>
        <w:tabs>
          <w:tab w:val="left" w:pos="2127"/>
        </w:tabs>
        <w:spacing w:after="0"/>
        <w:rPr>
          <w:rFonts w:hint="eastAsia"/>
          <w:lang w:val="en-US" w:eastAsia="zh-CN"/>
        </w:rPr>
      </w:pPr>
      <w:r>
        <w:rPr>
          <w:rFonts w:hint="eastAsia"/>
          <w:lang w:val="en-US" w:eastAsia="zh-CN"/>
        </w:rPr>
        <w:t xml:space="preserve">Similar analysis for the legacy UE assumption in D1T1 is also applicable for D2T2. therefore Option 1-2 in D2T2 deployment scenario should be taken into account as baseline even under the assumptions of without 900MHz indoor BS deployed. </w:t>
      </w:r>
    </w:p>
    <w:p>
      <w:pPr>
        <w:tabs>
          <w:tab w:val="left" w:pos="2127"/>
        </w:tabs>
        <w:spacing w:after="0"/>
        <w:rPr>
          <w:rFonts w:hint="eastAsia"/>
          <w:lang w:val="en-US" w:eastAsia="zh-CN"/>
        </w:rPr>
      </w:pPr>
      <w:r>
        <w:rPr>
          <w:rFonts w:hint="eastAsia"/>
          <w:b/>
          <w:bCs/>
          <w:lang w:val="en-US" w:eastAsia="zh-CN"/>
        </w:rPr>
        <w:t>Proposal 4</w:t>
      </w:r>
      <w:r>
        <w:rPr>
          <w:rFonts w:hint="eastAsia"/>
          <w:lang w:val="en-US" w:eastAsia="zh-CN"/>
        </w:rPr>
        <w:t xml:space="preserve">: for D2T2 deployment scenario, Option 1-2 should be taken into account as baseline even under the assumptions of without 900MHz indoor BS deployed. </w:t>
      </w:r>
    </w:p>
    <w:p>
      <w:pPr>
        <w:pStyle w:val="58"/>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eastAsia="Times New Roman"/>
          <w:sz w:val="28"/>
          <w:szCs w:val="28"/>
        </w:rPr>
      </w:pPr>
      <w:r>
        <w:rPr>
          <w:rFonts w:hint="eastAsia"/>
          <w:sz w:val="28"/>
          <w:szCs w:val="28"/>
          <w:lang w:val="en-US" w:eastAsia="zh-CN"/>
        </w:rPr>
        <w:t xml:space="preserve">2.2. Spectrum usage </w:t>
      </w:r>
    </w:p>
    <w:p>
      <w:pPr>
        <w:tabs>
          <w:tab w:val="left" w:pos="2127"/>
        </w:tabs>
        <w:spacing w:after="0"/>
        <w:rPr>
          <w:rFonts w:hint="eastAsia"/>
          <w:lang w:val="en-US" w:eastAsia="zh-CN"/>
        </w:rPr>
      </w:pPr>
      <w:r>
        <w:rPr>
          <w:rFonts w:hint="eastAsia"/>
          <w:lang w:val="en-US" w:eastAsia="zh-CN"/>
        </w:rPr>
        <w:t xml:space="preserve">In last RAN4 meeting, there were some initial discussions on the spectrum usage for R2D and CW signal/back scattering signals. </w:t>
      </w:r>
    </w:p>
    <w:p>
      <w:pPr>
        <w:tabs>
          <w:tab w:val="left" w:pos="2127"/>
        </w:tabs>
        <w:spacing w:after="0"/>
        <w:rPr>
          <w:rFonts w:hint="eastAsia"/>
          <w:lang w:val="en-US" w:eastAsia="zh-CN"/>
        </w:rPr>
      </w:pPr>
      <w:r>
        <w:rPr>
          <w:rFonts w:hint="eastAsia"/>
          <w:lang w:val="en-US" w:eastAsia="zh-CN"/>
        </w:rPr>
        <w:t xml:space="preserve">For the R2D spectrum usage, we reached the consensus for D2T2 deployment scenario with uplink spectrum assumption, however for D1T1 deployment scenario, the spectrum usage is still kept open. In the following section, we would like to provide some further understandings on this spectrum usage. </w:t>
      </w:r>
    </w:p>
    <w:p>
      <w:pPr>
        <w:tabs>
          <w:tab w:val="left" w:pos="2127"/>
        </w:tabs>
        <w:spacing w:after="0"/>
        <w:jc w:val="center"/>
        <w:rPr>
          <w:rFonts w:hint="default"/>
          <w:b/>
          <w:bCs/>
          <w:lang w:val="en-US" w:eastAsia="zh-CN"/>
        </w:rPr>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b/>
          <w:bCs/>
          <w:lang w:val="en-US" w:eastAsia="zh-CN"/>
        </w:rPr>
        <w:t>Table 1. the analysis for spectrum usage of D1T1</w:t>
      </w:r>
    </w:p>
    <w:tbl>
      <w:tblPr>
        <w:tblStyle w:val="27"/>
        <w:tblpPr w:leftFromText="180" w:rightFromText="180" w:vertAnchor="text" w:horzAnchor="page" w:tblpX="1439" w:tblpY="326"/>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139"/>
        <w:gridCol w:w="2470"/>
        <w:gridCol w:w="3255"/>
        <w:gridCol w:w="3130"/>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pct"/>
            <w:shd w:val="clear" w:color="auto" w:fill="D7D7D7" w:themeFill="background1" w:themeFillShade="D8"/>
          </w:tcPr>
          <w:p>
            <w:pPr>
              <w:keepNext w:val="0"/>
              <w:keepLines w:val="0"/>
              <w:suppressLineNumbers w:val="0"/>
              <w:tabs>
                <w:tab w:val="left" w:pos="2127"/>
              </w:tabs>
              <w:spacing w:before="0" w:beforeAutospacing="0" w:after="0" w:afterAutospacing="0"/>
              <w:ind w:left="0" w:right="0"/>
              <w:rPr>
                <w:rFonts w:hint="default"/>
                <w:b/>
                <w:bCs/>
                <w:vertAlign w:val="baseline"/>
                <w:lang w:val="en-US" w:eastAsia="zh-CN"/>
              </w:rPr>
            </w:pPr>
            <w:r>
              <w:rPr>
                <w:rFonts w:hint="eastAsia"/>
                <w:b/>
                <w:bCs/>
                <w:vertAlign w:val="baseline"/>
                <w:lang w:val="en-US" w:eastAsia="zh-CN"/>
              </w:rPr>
              <w:t>Deployment scenarios</w:t>
            </w:r>
          </w:p>
        </w:tc>
        <w:tc>
          <w:tcPr>
            <w:tcW w:w="402" w:type="pct"/>
            <w:shd w:val="clear" w:color="auto" w:fill="D7D7D7" w:themeFill="background1" w:themeFillShade="D8"/>
          </w:tcPr>
          <w:p>
            <w:pPr>
              <w:keepNext w:val="0"/>
              <w:keepLines w:val="0"/>
              <w:suppressLineNumbers w:val="0"/>
              <w:tabs>
                <w:tab w:val="left" w:pos="2127"/>
              </w:tabs>
              <w:spacing w:before="0" w:beforeAutospacing="0" w:after="0" w:afterAutospacing="0"/>
              <w:ind w:left="0" w:right="0"/>
              <w:rPr>
                <w:rFonts w:hint="eastAsia"/>
                <w:b/>
                <w:bCs/>
                <w:vertAlign w:val="baseline"/>
                <w:lang w:val="en-US" w:eastAsia="zh-CN"/>
              </w:rPr>
            </w:pPr>
            <w:r>
              <w:rPr>
                <w:rFonts w:hint="eastAsia"/>
                <w:b/>
                <w:bCs/>
                <w:vertAlign w:val="baseline"/>
                <w:lang w:val="en-US" w:eastAsia="zh-CN"/>
              </w:rPr>
              <w:t xml:space="preserve">R2D </w:t>
            </w:r>
          </w:p>
        </w:tc>
        <w:tc>
          <w:tcPr>
            <w:tcW w:w="872" w:type="pct"/>
            <w:shd w:val="clear" w:color="auto" w:fill="D7D7D7" w:themeFill="background1" w:themeFillShade="D8"/>
          </w:tcPr>
          <w:p>
            <w:pPr>
              <w:keepNext w:val="0"/>
              <w:keepLines w:val="0"/>
              <w:suppressLineNumbers w:val="0"/>
              <w:tabs>
                <w:tab w:val="left" w:pos="2127"/>
              </w:tabs>
              <w:spacing w:before="0" w:beforeAutospacing="0" w:after="0" w:afterAutospacing="0"/>
              <w:ind w:left="0" w:right="0"/>
              <w:rPr>
                <w:rFonts w:hint="default"/>
                <w:b/>
                <w:bCs/>
                <w:vertAlign w:val="baseline"/>
                <w:lang w:val="en-US" w:eastAsia="zh-CN"/>
              </w:rPr>
            </w:pPr>
            <w:r>
              <w:rPr>
                <w:rFonts w:hint="eastAsia"/>
                <w:b/>
                <w:bCs/>
                <w:vertAlign w:val="baseline"/>
                <w:lang w:val="en-US" w:eastAsia="zh-CN"/>
              </w:rPr>
              <w:t>CW signal/Backscattering</w:t>
            </w:r>
          </w:p>
        </w:tc>
        <w:tc>
          <w:tcPr>
            <w:tcW w:w="1149" w:type="pct"/>
            <w:shd w:val="clear" w:color="auto" w:fill="D7D7D7" w:themeFill="background1" w:themeFillShade="D8"/>
          </w:tcPr>
          <w:p>
            <w:pPr>
              <w:keepNext w:val="0"/>
              <w:keepLines w:val="0"/>
              <w:suppressLineNumbers w:val="0"/>
              <w:tabs>
                <w:tab w:val="left" w:pos="2127"/>
              </w:tabs>
              <w:spacing w:before="0" w:beforeAutospacing="0" w:after="0" w:afterAutospacing="0"/>
              <w:ind w:left="0" w:right="0"/>
              <w:rPr>
                <w:rFonts w:hint="default"/>
                <w:b/>
                <w:bCs/>
                <w:vertAlign w:val="baseline"/>
                <w:lang w:val="en-US" w:eastAsia="zh-CN"/>
              </w:rPr>
            </w:pPr>
            <w:r>
              <w:rPr>
                <w:rFonts w:hint="eastAsia"/>
                <w:b/>
                <w:bCs/>
                <w:vertAlign w:val="baseline"/>
                <w:lang w:val="en-US" w:eastAsia="zh-CN"/>
              </w:rPr>
              <w:t>Pros</w:t>
            </w:r>
          </w:p>
        </w:tc>
        <w:tc>
          <w:tcPr>
            <w:tcW w:w="1105" w:type="pct"/>
            <w:shd w:val="clear" w:color="auto" w:fill="D7D7D7" w:themeFill="background1" w:themeFillShade="D8"/>
          </w:tcPr>
          <w:p>
            <w:pPr>
              <w:keepNext w:val="0"/>
              <w:keepLines w:val="0"/>
              <w:suppressLineNumbers w:val="0"/>
              <w:tabs>
                <w:tab w:val="left" w:pos="2127"/>
              </w:tabs>
              <w:spacing w:before="0" w:beforeAutospacing="0" w:after="0" w:afterAutospacing="0"/>
              <w:ind w:left="0" w:right="0"/>
              <w:rPr>
                <w:rFonts w:hint="default"/>
                <w:b/>
                <w:bCs/>
                <w:vertAlign w:val="baseline"/>
                <w:lang w:val="en-US" w:eastAsia="zh-CN"/>
              </w:rPr>
            </w:pPr>
            <w:r>
              <w:rPr>
                <w:rFonts w:hint="eastAsia"/>
                <w:b/>
                <w:bCs/>
                <w:vertAlign w:val="baseline"/>
                <w:lang w:val="en-US" w:eastAsia="zh-CN"/>
              </w:rPr>
              <w:t>Cons</w:t>
            </w:r>
          </w:p>
        </w:tc>
        <w:tc>
          <w:tcPr>
            <w:tcW w:w="772" w:type="pct"/>
            <w:shd w:val="clear" w:color="auto" w:fill="D7D7D7" w:themeFill="background1" w:themeFillShade="D8"/>
          </w:tcPr>
          <w:p>
            <w:pPr>
              <w:keepNext w:val="0"/>
              <w:keepLines w:val="0"/>
              <w:suppressLineNumbers w:val="0"/>
              <w:tabs>
                <w:tab w:val="left" w:pos="2127"/>
              </w:tabs>
              <w:spacing w:before="0" w:beforeAutospacing="0" w:after="0" w:afterAutospacing="0"/>
              <w:ind w:left="0" w:right="0"/>
              <w:rPr>
                <w:rFonts w:hint="eastAsia"/>
                <w:b/>
                <w:bCs/>
                <w:vertAlign w:val="baseline"/>
                <w:lang w:val="en-US" w:eastAsia="zh-CN"/>
              </w:rPr>
            </w:pPr>
            <w:r>
              <w:rPr>
                <w:rFonts w:hint="eastAsia"/>
                <w:b/>
                <w:bCs/>
                <w:vertAlign w:val="baseline"/>
                <w:lang w:val="en-US" w:eastAsia="zh-CN"/>
              </w:rPr>
              <w:t>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pct"/>
            <w:vMerge w:val="restart"/>
          </w:tcPr>
          <w:p>
            <w:pPr>
              <w:keepNext w:val="0"/>
              <w:keepLines w:val="0"/>
              <w:suppressLineNumbers w:val="0"/>
              <w:tabs>
                <w:tab w:val="left" w:pos="2127"/>
              </w:tabs>
              <w:spacing w:before="0" w:beforeAutospacing="0" w:after="0" w:afterAutospacing="0"/>
              <w:ind w:left="0" w:right="0"/>
              <w:rPr>
                <w:rFonts w:hint="default"/>
                <w:b/>
                <w:bCs/>
                <w:vertAlign w:val="baseline"/>
                <w:lang w:val="en-US" w:eastAsia="zh-CN"/>
              </w:rPr>
            </w:pPr>
            <w:r>
              <w:rPr>
                <w:rFonts w:hint="eastAsia"/>
                <w:b/>
                <w:bCs/>
                <w:vertAlign w:val="baseline"/>
                <w:lang w:val="en-US" w:eastAsia="zh-CN"/>
              </w:rPr>
              <w:t>Option 1-1</w:t>
            </w:r>
          </w:p>
        </w:tc>
        <w:tc>
          <w:tcPr>
            <w:tcW w:w="40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DL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DL</w:t>
            </w:r>
          </w:p>
        </w:tc>
        <w:tc>
          <w:tcPr>
            <w:tcW w:w="1149"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 xml:space="preserve">To follow the BS output limitation as FR1 MR and LA BS at least; </w:t>
            </w:r>
          </w:p>
        </w:tc>
        <w:tc>
          <w:tcPr>
            <w:tcW w:w="1105" w:type="pct"/>
          </w:tcPr>
          <w:p>
            <w:pPr>
              <w:keepNext w:val="0"/>
              <w:keepLines w:val="0"/>
              <w:numPr>
                <w:ilvl w:val="0"/>
                <w:numId w:val="8"/>
              </w:numPr>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 xml:space="preserve">The impacts of R2D/CW signals towards the the legacy UE; </w:t>
            </w:r>
          </w:p>
          <w:p>
            <w:pPr>
              <w:keepNext w:val="0"/>
              <w:keepLines w:val="0"/>
              <w:numPr>
                <w:ilvl w:val="0"/>
                <w:numId w:val="8"/>
              </w:numPr>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 xml:space="preserve">Some potential impacts of legacy BS transmission on A-IoT BS reception with some deployment isolation separation; </w:t>
            </w:r>
          </w:p>
        </w:tc>
        <w:tc>
          <w:tcPr>
            <w:tcW w:w="772" w:type="pct"/>
          </w:tcPr>
          <w:p>
            <w:pPr>
              <w:keepNext w:val="0"/>
              <w:keepLines w:val="0"/>
              <w:numPr>
                <w:ilvl w:val="0"/>
                <w:numId w:val="0"/>
              </w:numPr>
              <w:suppressLineNumbers w:val="0"/>
              <w:tabs>
                <w:tab w:val="left" w:pos="2127"/>
              </w:tabs>
              <w:spacing w:before="0" w:beforeAutospacing="0" w:after="0" w:afterAutospacing="0"/>
              <w:ind w:left="0" w:right="0"/>
              <w:rPr>
                <w:rFonts w:hint="eastAsia"/>
                <w:vertAlign w:val="baseline"/>
                <w:lang w:val="en-US" w:eastAsia="zh-CN"/>
              </w:rPr>
            </w:pPr>
            <w:r>
              <w:rPr>
                <w:rFonts w:hint="default" w:ascii="Arial" w:hAnsi="Arial" w:cs="Arial"/>
                <w:sz w:val="52"/>
                <w:szCs w:val="52"/>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pct"/>
            <w:vMerge w:val="continue"/>
          </w:tcPr>
          <w:p>
            <w:pPr>
              <w:keepNext w:val="0"/>
              <w:keepLines w:val="0"/>
              <w:suppressLineNumbers w:val="0"/>
              <w:tabs>
                <w:tab w:val="left" w:pos="2127"/>
              </w:tabs>
              <w:spacing w:before="0" w:beforeAutospacing="0" w:after="0" w:afterAutospacing="0"/>
              <w:ind w:left="0" w:right="0"/>
              <w:rPr>
                <w:rFonts w:hint="default"/>
                <w:b/>
                <w:bCs/>
                <w:vertAlign w:val="baseline"/>
                <w:lang w:val="en-US" w:eastAsia="zh-CN"/>
              </w:rPr>
            </w:pPr>
          </w:p>
        </w:tc>
        <w:tc>
          <w:tcPr>
            <w:tcW w:w="40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UL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UL</w:t>
            </w:r>
          </w:p>
        </w:tc>
        <w:tc>
          <w:tcPr>
            <w:tcW w:w="1149"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No impacts on the legacy UE reception</w:t>
            </w:r>
          </w:p>
        </w:tc>
        <w:tc>
          <w:tcPr>
            <w:tcW w:w="1105" w:type="pct"/>
          </w:tcPr>
          <w:p>
            <w:pPr>
              <w:keepNext w:val="0"/>
              <w:keepLines w:val="0"/>
              <w:numPr>
                <w:ilvl w:val="0"/>
                <w:numId w:val="9"/>
              </w:numPr>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 xml:space="preserve">the impacts of R2D/CW signals towards the the legacy BS. </w:t>
            </w:r>
          </w:p>
          <w:p>
            <w:pPr>
              <w:keepNext w:val="0"/>
              <w:keepLines w:val="0"/>
              <w:numPr>
                <w:ilvl w:val="0"/>
                <w:numId w:val="9"/>
              </w:numPr>
              <w:suppressLineNumbers w:val="0"/>
              <w:tabs>
                <w:tab w:val="left" w:pos="2127"/>
              </w:tabs>
              <w:spacing w:before="0" w:beforeAutospacing="0" w:after="0" w:afterAutospacing="0"/>
              <w:ind w:left="0" w:leftChars="0" w:right="0" w:firstLine="0" w:firstLineChars="0"/>
              <w:rPr>
                <w:rFonts w:hint="default"/>
                <w:vertAlign w:val="baseline"/>
                <w:lang w:val="en-US" w:eastAsia="zh-CN"/>
              </w:rPr>
            </w:pPr>
            <w:r>
              <w:rPr>
                <w:rFonts w:hint="eastAsia"/>
                <w:vertAlign w:val="baseline"/>
                <w:lang w:val="en-US" w:eastAsia="zh-CN"/>
              </w:rPr>
              <w:t xml:space="preserve">Some potential limitation on uplink power transmission and exact regulatory requirement is not decided yet.  </w:t>
            </w:r>
          </w:p>
        </w:tc>
        <w:tc>
          <w:tcPr>
            <w:tcW w:w="772" w:type="pct"/>
          </w:tcPr>
          <w:p>
            <w:pPr>
              <w:keepNext w:val="0"/>
              <w:keepLines w:val="0"/>
              <w:numPr>
                <w:ilvl w:val="0"/>
                <w:numId w:val="0"/>
              </w:numPr>
              <w:suppressLineNumbers w:val="0"/>
              <w:tabs>
                <w:tab w:val="left" w:pos="2127"/>
              </w:tabs>
              <w:spacing w:before="0" w:beforeAutospacing="0" w:after="0" w:afterAutospacing="0"/>
              <w:ind w:left="0" w:leftChars="0" w:right="0"/>
              <w:rPr>
                <w:rFonts w:hint="eastAsia"/>
                <w:vertAlign w:val="baseline"/>
                <w:lang w:val="en-US" w:eastAsia="zh-CN"/>
              </w:rPr>
            </w:pPr>
            <w:r>
              <w:rPr>
                <w:rFonts w:hint="default" w:ascii="Arial" w:hAnsi="Arial" w:cs="Arial"/>
                <w:sz w:val="52"/>
                <w:szCs w:val="52"/>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pct"/>
          </w:tcPr>
          <w:p>
            <w:pPr>
              <w:keepNext w:val="0"/>
              <w:keepLines w:val="0"/>
              <w:suppressLineNumbers w:val="0"/>
              <w:tabs>
                <w:tab w:val="left" w:pos="2127"/>
              </w:tabs>
              <w:spacing w:before="0" w:beforeAutospacing="0" w:after="0" w:afterAutospacing="0"/>
              <w:ind w:left="0" w:right="0"/>
              <w:rPr>
                <w:rFonts w:hint="default"/>
                <w:b/>
                <w:bCs/>
                <w:vertAlign w:val="baseline"/>
                <w:lang w:val="en-US" w:eastAsia="zh-CN"/>
              </w:rPr>
            </w:pPr>
          </w:p>
        </w:tc>
        <w:tc>
          <w:tcPr>
            <w:tcW w:w="40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DL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UL</w:t>
            </w:r>
          </w:p>
        </w:tc>
        <w:tc>
          <w:tcPr>
            <w:tcW w:w="1149" w:type="pct"/>
          </w:tcPr>
          <w:p>
            <w:pPr>
              <w:keepNext w:val="0"/>
              <w:keepLines w:val="0"/>
              <w:suppressLineNumbers w:val="0"/>
              <w:tabs>
                <w:tab w:val="left" w:pos="2127"/>
              </w:tabs>
              <w:spacing w:before="0" w:beforeAutospacing="0" w:after="0" w:afterAutospacing="0"/>
              <w:ind w:left="0" w:right="0"/>
              <w:rPr>
                <w:rFonts w:hint="eastAsia"/>
                <w:vertAlign w:val="baseline"/>
                <w:lang w:val="en-US" w:eastAsia="zh-CN"/>
              </w:rPr>
            </w:pPr>
          </w:p>
        </w:tc>
        <w:tc>
          <w:tcPr>
            <w:tcW w:w="1105" w:type="pct"/>
          </w:tcPr>
          <w:p>
            <w:pPr>
              <w:keepNext w:val="0"/>
              <w:keepLines w:val="0"/>
              <w:numPr>
                <w:ilvl w:val="0"/>
                <w:numId w:val="0"/>
              </w:numPr>
              <w:suppressLineNumbers w:val="0"/>
              <w:tabs>
                <w:tab w:val="left" w:pos="2127"/>
              </w:tabs>
              <w:spacing w:before="0" w:beforeAutospacing="0" w:after="0" w:afterAutospacing="0"/>
              <w:ind w:left="0" w:leftChars="0" w:right="0" w:rightChars="0"/>
              <w:rPr>
                <w:rFonts w:hint="eastAsia"/>
                <w:vertAlign w:val="baseline"/>
                <w:lang w:val="en-US" w:eastAsia="zh-CN"/>
              </w:rPr>
            </w:pPr>
          </w:p>
        </w:tc>
        <w:tc>
          <w:tcPr>
            <w:tcW w:w="772" w:type="pct"/>
          </w:tcPr>
          <w:p>
            <w:pPr>
              <w:keepNext w:val="0"/>
              <w:keepLines w:val="0"/>
              <w:numPr>
                <w:ilvl w:val="0"/>
                <w:numId w:val="0"/>
              </w:numPr>
              <w:suppressLineNumbers w:val="0"/>
              <w:tabs>
                <w:tab w:val="left" w:pos="2127"/>
              </w:tabs>
              <w:spacing w:before="0" w:beforeAutospacing="0" w:after="0" w:afterAutospacing="0"/>
              <w:ind w:left="0" w:leftChars="0" w:right="0"/>
              <w:rPr>
                <w:rFonts w:hint="default" w:ascii="Arial" w:hAnsi="Arial" w:cs="Arial"/>
                <w:sz w:val="52"/>
                <w:szCs w:val="5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pct"/>
            <w:vMerge w:val="restart"/>
          </w:tcPr>
          <w:p>
            <w:pPr>
              <w:keepNext w:val="0"/>
              <w:keepLines w:val="0"/>
              <w:suppressLineNumbers w:val="0"/>
              <w:tabs>
                <w:tab w:val="left" w:pos="2127"/>
              </w:tabs>
              <w:spacing w:before="0" w:beforeAutospacing="0" w:after="0" w:afterAutospacing="0"/>
              <w:ind w:left="0" w:right="0"/>
              <w:rPr>
                <w:rFonts w:hint="eastAsia"/>
                <w:b/>
                <w:bCs/>
                <w:vertAlign w:val="baseline"/>
                <w:lang w:val="en-US" w:eastAsia="zh-CN"/>
              </w:rPr>
            </w:pPr>
            <w:r>
              <w:rPr>
                <w:rFonts w:hint="eastAsia"/>
                <w:b/>
                <w:bCs/>
                <w:vertAlign w:val="baseline"/>
                <w:lang w:val="en-US" w:eastAsia="zh-CN"/>
              </w:rPr>
              <w:t>Option 1-2</w:t>
            </w:r>
          </w:p>
          <w:p>
            <w:pPr>
              <w:keepNext w:val="0"/>
              <w:keepLines w:val="0"/>
              <w:suppressLineNumbers w:val="0"/>
              <w:tabs>
                <w:tab w:val="left" w:pos="2127"/>
              </w:tabs>
              <w:spacing w:before="0" w:beforeAutospacing="0" w:after="0" w:afterAutospacing="0"/>
              <w:ind w:left="0" w:right="0"/>
              <w:rPr>
                <w:rFonts w:hint="default"/>
                <w:b/>
                <w:bCs/>
                <w:vertAlign w:val="baseline"/>
                <w:lang w:val="en-US" w:eastAsia="zh-CN"/>
              </w:rPr>
            </w:pPr>
          </w:p>
        </w:tc>
        <w:tc>
          <w:tcPr>
            <w:tcW w:w="402" w:type="pct"/>
            <w:vAlign w:val="top"/>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DL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DL</w:t>
            </w:r>
          </w:p>
        </w:tc>
        <w:tc>
          <w:tcPr>
            <w:tcW w:w="1149"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 xml:space="preserve">To follow the BS output limitation as FR1 MR and LA BS at least; </w:t>
            </w:r>
          </w:p>
        </w:tc>
        <w:tc>
          <w:tcPr>
            <w:tcW w:w="1105" w:type="pct"/>
          </w:tcPr>
          <w:p>
            <w:pPr>
              <w:keepNext w:val="0"/>
              <w:keepLines w:val="0"/>
              <w:numPr>
                <w:ilvl w:val="0"/>
                <w:numId w:val="10"/>
              </w:numPr>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The impacts of R2D signals towards the the legacy UE e.g. CW signal and R2D signal</w:t>
            </w:r>
          </w:p>
          <w:p>
            <w:pPr>
              <w:keepNext w:val="0"/>
              <w:keepLines w:val="0"/>
              <w:numPr>
                <w:ilvl w:val="0"/>
                <w:numId w:val="10"/>
              </w:numPr>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Some potential impacts of legacy BS transmission on A-IoT BS reception;</w:t>
            </w:r>
          </w:p>
        </w:tc>
        <w:tc>
          <w:tcPr>
            <w:tcW w:w="772" w:type="pct"/>
          </w:tcPr>
          <w:p>
            <w:pPr>
              <w:keepNext w:val="0"/>
              <w:keepLines w:val="0"/>
              <w:numPr>
                <w:ilvl w:val="0"/>
                <w:numId w:val="0"/>
              </w:numPr>
              <w:suppressLineNumbers w:val="0"/>
              <w:tabs>
                <w:tab w:val="left" w:pos="2127"/>
              </w:tabs>
              <w:spacing w:before="0" w:beforeAutospacing="0" w:after="0" w:afterAutospacing="0"/>
              <w:ind w:left="0" w:right="0"/>
              <w:rPr>
                <w:rFonts w:hint="eastAsia"/>
                <w:vertAlign w:val="baseline"/>
                <w:lang w:val="en-US" w:eastAsia="zh-CN"/>
              </w:rPr>
            </w:pPr>
            <w:r>
              <w:rPr>
                <w:rFonts w:hint="default" w:ascii="Arial" w:hAnsi="Arial" w:cs="Arial"/>
                <w:sz w:val="52"/>
                <w:szCs w:val="52"/>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7" w:type="pct"/>
            <w:vMerge w:val="continue"/>
          </w:tcPr>
          <w:p>
            <w:pPr>
              <w:keepNext w:val="0"/>
              <w:keepLines w:val="0"/>
              <w:suppressLineNumbers w:val="0"/>
              <w:tabs>
                <w:tab w:val="left" w:pos="2127"/>
              </w:tabs>
              <w:spacing w:before="0" w:beforeAutospacing="0" w:after="0" w:afterAutospacing="0"/>
              <w:ind w:left="0" w:right="0"/>
              <w:rPr>
                <w:rFonts w:hint="default"/>
                <w:b/>
                <w:bCs/>
                <w:vertAlign w:val="baseline"/>
                <w:lang w:val="en-US" w:eastAsia="zh-CN"/>
              </w:rPr>
            </w:pPr>
          </w:p>
        </w:tc>
        <w:tc>
          <w:tcPr>
            <w:tcW w:w="402" w:type="pct"/>
            <w:vAlign w:val="top"/>
          </w:tcPr>
          <w:p>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UL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UL</w:t>
            </w:r>
          </w:p>
        </w:tc>
        <w:tc>
          <w:tcPr>
            <w:tcW w:w="1149"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No impacts on the legacy UE reception</w:t>
            </w:r>
          </w:p>
        </w:tc>
        <w:tc>
          <w:tcPr>
            <w:tcW w:w="1105" w:type="pct"/>
          </w:tcPr>
          <w:p>
            <w:pPr>
              <w:keepNext w:val="0"/>
              <w:keepLines w:val="0"/>
              <w:numPr>
                <w:ilvl w:val="0"/>
                <w:numId w:val="11"/>
              </w:numPr>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 xml:space="preserve">the impacts of R2D signals towards the the legacy BS, add some filtering to reject the CW signal interference or R2D interference signal. </w:t>
            </w:r>
          </w:p>
          <w:p>
            <w:pPr>
              <w:keepNext w:val="0"/>
              <w:keepLines w:val="0"/>
              <w:numPr>
                <w:ilvl w:val="0"/>
                <w:numId w:val="11"/>
              </w:numPr>
              <w:suppressLineNumbers w:val="0"/>
              <w:tabs>
                <w:tab w:val="left" w:pos="2127"/>
              </w:tabs>
              <w:spacing w:before="0" w:beforeAutospacing="0" w:after="0" w:afterAutospacing="0"/>
              <w:ind w:left="0" w:leftChars="0" w:right="0" w:firstLine="0" w:firstLineChars="0"/>
              <w:rPr>
                <w:rFonts w:hint="default"/>
                <w:vertAlign w:val="baseline"/>
                <w:lang w:val="en-US" w:eastAsia="zh-CN"/>
              </w:rPr>
            </w:pPr>
            <w:r>
              <w:rPr>
                <w:rFonts w:hint="eastAsia"/>
                <w:vertAlign w:val="baseline"/>
                <w:lang w:val="en-US" w:eastAsia="zh-CN"/>
              </w:rPr>
              <w:t>Some potential limitation on uplink power transmission and exact regulatory requirement is not decided yet.</w:t>
            </w:r>
          </w:p>
        </w:tc>
        <w:tc>
          <w:tcPr>
            <w:tcW w:w="772" w:type="pct"/>
          </w:tcPr>
          <w:p>
            <w:pPr>
              <w:keepNext w:val="0"/>
              <w:keepLines w:val="0"/>
              <w:numPr>
                <w:ilvl w:val="0"/>
                <w:numId w:val="0"/>
              </w:numPr>
              <w:suppressLineNumbers w:val="0"/>
              <w:tabs>
                <w:tab w:val="left" w:pos="2127"/>
              </w:tabs>
              <w:spacing w:before="0" w:beforeAutospacing="0" w:after="0" w:afterAutospacing="0"/>
              <w:ind w:left="0" w:leftChars="0" w:right="0"/>
              <w:rPr>
                <w:rFonts w:hint="eastAsia"/>
                <w:vertAlign w:val="baseline"/>
                <w:lang w:val="en-US" w:eastAsia="zh-CN"/>
              </w:rPr>
            </w:pPr>
            <w:r>
              <w:rPr>
                <w:rFonts w:hint="default" w:ascii="Arial" w:hAnsi="Arial" w:cs="Arial"/>
                <w:sz w:val="52"/>
                <w:szCs w:val="52"/>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7" w:type="pct"/>
          </w:tcPr>
          <w:p>
            <w:pPr>
              <w:keepNext w:val="0"/>
              <w:keepLines w:val="0"/>
              <w:suppressLineNumbers w:val="0"/>
              <w:tabs>
                <w:tab w:val="left" w:pos="2127"/>
              </w:tabs>
              <w:spacing w:before="0" w:beforeAutospacing="0" w:after="0" w:afterAutospacing="0"/>
              <w:ind w:left="0" w:right="0"/>
              <w:rPr>
                <w:rFonts w:hint="default"/>
                <w:b/>
                <w:bCs/>
                <w:vertAlign w:val="baseline"/>
                <w:lang w:val="en-US" w:eastAsia="zh-CN"/>
              </w:rPr>
            </w:pPr>
          </w:p>
        </w:tc>
        <w:tc>
          <w:tcPr>
            <w:tcW w:w="402" w:type="pct"/>
            <w:vAlign w:val="top"/>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DL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UL</w:t>
            </w:r>
          </w:p>
        </w:tc>
        <w:tc>
          <w:tcPr>
            <w:tcW w:w="1149" w:type="pct"/>
          </w:tcPr>
          <w:p>
            <w:pPr>
              <w:keepNext w:val="0"/>
              <w:keepLines w:val="0"/>
              <w:suppressLineNumbers w:val="0"/>
              <w:tabs>
                <w:tab w:val="left" w:pos="2127"/>
              </w:tabs>
              <w:spacing w:before="0" w:beforeAutospacing="0" w:after="0" w:afterAutospacing="0"/>
              <w:ind w:left="0" w:right="0"/>
              <w:rPr>
                <w:rFonts w:hint="eastAsia"/>
                <w:vertAlign w:val="baseline"/>
                <w:lang w:val="en-US" w:eastAsia="zh-CN"/>
              </w:rPr>
            </w:pPr>
          </w:p>
        </w:tc>
        <w:tc>
          <w:tcPr>
            <w:tcW w:w="1105" w:type="pct"/>
          </w:tcPr>
          <w:p>
            <w:pPr>
              <w:keepNext w:val="0"/>
              <w:keepLines w:val="0"/>
              <w:numPr>
                <w:ilvl w:val="0"/>
                <w:numId w:val="11"/>
              </w:numPr>
              <w:suppressLineNumbers w:val="0"/>
              <w:tabs>
                <w:tab w:val="left" w:pos="2127"/>
              </w:tabs>
              <w:spacing w:before="0" w:beforeAutospacing="0" w:after="0" w:afterAutospacing="0"/>
              <w:ind w:left="0" w:leftChars="0" w:right="0" w:firstLine="0" w:firstLineChars="0"/>
              <w:rPr>
                <w:rFonts w:hint="eastAsia"/>
                <w:vertAlign w:val="baseline"/>
                <w:lang w:val="en-US" w:eastAsia="zh-CN"/>
              </w:rPr>
            </w:pPr>
          </w:p>
        </w:tc>
        <w:tc>
          <w:tcPr>
            <w:tcW w:w="772" w:type="pct"/>
          </w:tcPr>
          <w:p>
            <w:pPr>
              <w:keepNext w:val="0"/>
              <w:keepLines w:val="0"/>
              <w:numPr>
                <w:ilvl w:val="0"/>
                <w:numId w:val="0"/>
              </w:numPr>
              <w:suppressLineNumbers w:val="0"/>
              <w:tabs>
                <w:tab w:val="left" w:pos="2127"/>
              </w:tabs>
              <w:spacing w:before="0" w:beforeAutospacing="0" w:after="0" w:afterAutospacing="0"/>
              <w:ind w:left="0" w:leftChars="0" w:right="0"/>
              <w:rPr>
                <w:rFonts w:hint="default" w:ascii="Arial" w:hAnsi="Arial" w:cs="Arial"/>
                <w:sz w:val="52"/>
                <w:szCs w:val="52"/>
                <w:vertAlign w:val="baseline"/>
                <w:lang w:val="en-US" w:eastAsia="zh-CN"/>
              </w:rPr>
            </w:pPr>
            <w:r>
              <w:rPr>
                <w:rFonts w:hint="default" w:ascii="Arial" w:hAnsi="Arial" w:cs="Arial"/>
                <w:sz w:val="52"/>
                <w:szCs w:val="52"/>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7" w:type="pct"/>
            <w:vMerge w:val="restart"/>
            <w:vAlign w:val="top"/>
          </w:tcPr>
          <w:p>
            <w:pPr>
              <w:keepNext w:val="0"/>
              <w:keepLines w:val="0"/>
              <w:suppressLineNumbers w:val="0"/>
              <w:tabs>
                <w:tab w:val="left" w:pos="2127"/>
              </w:tabs>
              <w:spacing w:before="0" w:beforeAutospacing="0" w:after="0" w:afterAutospacing="0"/>
              <w:ind w:left="0" w:right="0"/>
              <w:rPr>
                <w:rFonts w:hint="eastAsia"/>
                <w:b/>
                <w:bCs/>
                <w:vertAlign w:val="baseline"/>
                <w:lang w:val="en-US" w:eastAsia="zh-CN"/>
              </w:rPr>
            </w:pPr>
            <w:r>
              <w:rPr>
                <w:rFonts w:hint="eastAsia"/>
                <w:b/>
                <w:bCs/>
                <w:vertAlign w:val="baseline"/>
                <w:lang w:val="en-US" w:eastAsia="zh-CN"/>
              </w:rPr>
              <w:t>Option 2-1</w:t>
            </w:r>
          </w:p>
          <w:p>
            <w:pPr>
              <w:keepNext w:val="0"/>
              <w:keepLines w:val="0"/>
              <w:suppressLineNumbers w:val="0"/>
              <w:tabs>
                <w:tab w:val="left" w:pos="2127"/>
              </w:tabs>
              <w:spacing w:before="0" w:beforeAutospacing="0" w:after="0" w:afterAutospacing="0"/>
              <w:ind w:left="0" w:right="0"/>
              <w:rPr>
                <w:rFonts w:hint="default" w:ascii="Times New Roman" w:hAnsi="Times New Roman" w:eastAsia="宋体" w:cs="Times New Roman"/>
                <w:b/>
                <w:bCs/>
                <w:kern w:val="2"/>
                <w:sz w:val="21"/>
                <w:szCs w:val="22"/>
                <w:vertAlign w:val="baseline"/>
                <w:lang w:val="en-US" w:eastAsia="zh-CN" w:bidi="ar-SA"/>
              </w:rPr>
            </w:pPr>
          </w:p>
        </w:tc>
        <w:tc>
          <w:tcPr>
            <w:tcW w:w="402" w:type="pct"/>
            <w:vAlign w:val="top"/>
          </w:tcPr>
          <w:p>
            <w:pPr>
              <w:keepNext w:val="0"/>
              <w:keepLines w:val="0"/>
              <w:suppressLineNumbers w:val="0"/>
              <w:tabs>
                <w:tab w:val="left" w:pos="2127"/>
              </w:tabs>
              <w:spacing w:before="0" w:beforeAutospacing="0" w:after="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DL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DL</w:t>
            </w:r>
          </w:p>
        </w:tc>
        <w:tc>
          <w:tcPr>
            <w:tcW w:w="1149"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 xml:space="preserve">To follow the BS output limitation as FR1 MR and LA BS at least; </w:t>
            </w:r>
          </w:p>
        </w:tc>
        <w:tc>
          <w:tcPr>
            <w:tcW w:w="1105" w:type="pct"/>
          </w:tcPr>
          <w:p>
            <w:pPr>
              <w:keepNext w:val="0"/>
              <w:keepLines w:val="0"/>
              <w:numPr>
                <w:ilvl w:val="0"/>
                <w:numId w:val="12"/>
              </w:numPr>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The impacts of R2D signals towards the the legacy UE e.g. CW signal and R2D signal;</w:t>
            </w:r>
          </w:p>
          <w:p>
            <w:pPr>
              <w:keepNext w:val="0"/>
              <w:keepLines w:val="0"/>
              <w:numPr>
                <w:ilvl w:val="0"/>
                <w:numId w:val="12"/>
              </w:numPr>
              <w:suppressLineNumbers w:val="0"/>
              <w:tabs>
                <w:tab w:val="left" w:pos="2127"/>
              </w:tabs>
              <w:spacing w:before="0" w:beforeAutospacing="0" w:after="0" w:afterAutospacing="0"/>
              <w:ind w:left="0" w:right="0"/>
              <w:rPr>
                <w:rFonts w:hint="eastAsia"/>
                <w:highlight w:val="yellow"/>
                <w:vertAlign w:val="baseline"/>
                <w:lang w:val="en-US" w:eastAsia="zh-CN"/>
              </w:rPr>
            </w:pPr>
            <w:r>
              <w:rPr>
                <w:rFonts w:hint="eastAsia"/>
                <w:highlight w:val="yellow"/>
                <w:vertAlign w:val="baseline"/>
                <w:lang w:val="en-US" w:eastAsia="zh-CN"/>
              </w:rPr>
              <w:t xml:space="preserve">The impacts of legacy BS transmission on A-IoT BS reception similar as SBFD due to co-site deployment. </w:t>
            </w:r>
          </w:p>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tc>
        <w:tc>
          <w:tcPr>
            <w:tcW w:w="772" w:type="pct"/>
            <w:vAlign w:val="top"/>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default" w:ascii="Arial" w:hAnsi="Arial" w:cs="Arial"/>
                <w:color w:val="FF0000"/>
                <w:sz w:val="52"/>
                <w:szCs w:val="52"/>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7" w:type="pct"/>
            <w:vMerge w:val="continue"/>
            <w:vAlign w:val="top"/>
          </w:tcPr>
          <w:p>
            <w:pPr>
              <w:keepNext w:val="0"/>
              <w:keepLines w:val="0"/>
              <w:suppressLineNumbers w:val="0"/>
              <w:tabs>
                <w:tab w:val="left" w:pos="2127"/>
              </w:tabs>
              <w:spacing w:before="0" w:beforeAutospacing="0" w:after="0" w:afterAutospacing="0"/>
              <w:ind w:left="0" w:right="0"/>
              <w:rPr>
                <w:rFonts w:hint="default" w:ascii="Times New Roman" w:hAnsi="Times New Roman" w:eastAsia="宋体" w:cs="Times New Roman"/>
                <w:b/>
                <w:bCs/>
                <w:kern w:val="2"/>
                <w:sz w:val="21"/>
                <w:szCs w:val="22"/>
                <w:vertAlign w:val="baseline"/>
                <w:lang w:val="en-US" w:eastAsia="zh-CN" w:bidi="ar-SA"/>
              </w:rPr>
            </w:pPr>
          </w:p>
        </w:tc>
        <w:tc>
          <w:tcPr>
            <w:tcW w:w="402" w:type="pct"/>
            <w:vAlign w:val="top"/>
          </w:tcPr>
          <w:p>
            <w:pPr>
              <w:keepNext w:val="0"/>
              <w:keepLines w:val="0"/>
              <w:suppressLineNumbers w:val="0"/>
              <w:tabs>
                <w:tab w:val="left" w:pos="2127"/>
              </w:tabs>
              <w:spacing w:before="0" w:beforeAutospacing="0" w:after="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UL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UL</w:t>
            </w:r>
          </w:p>
        </w:tc>
        <w:tc>
          <w:tcPr>
            <w:tcW w:w="1149"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No impacts on the legacy UE reception</w:t>
            </w:r>
          </w:p>
        </w:tc>
        <w:tc>
          <w:tcPr>
            <w:tcW w:w="1105" w:type="pct"/>
          </w:tcPr>
          <w:p>
            <w:pPr>
              <w:keepNext w:val="0"/>
              <w:keepLines w:val="0"/>
              <w:numPr>
                <w:ilvl w:val="0"/>
                <w:numId w:val="13"/>
              </w:numPr>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 xml:space="preserve">the impacts of R2D/CW signals towards the the legacy BS. </w:t>
            </w:r>
          </w:p>
          <w:p>
            <w:pPr>
              <w:keepNext w:val="0"/>
              <w:keepLines w:val="0"/>
              <w:numPr>
                <w:ilvl w:val="0"/>
                <w:numId w:val="13"/>
              </w:numPr>
              <w:suppressLineNumbers w:val="0"/>
              <w:tabs>
                <w:tab w:val="left" w:pos="2127"/>
              </w:tabs>
              <w:spacing w:before="0" w:beforeAutospacing="0" w:after="0" w:afterAutospacing="0"/>
              <w:ind w:left="0" w:leftChars="0" w:right="0" w:firstLine="0" w:firstLineChars="0"/>
              <w:rPr>
                <w:rFonts w:hint="default"/>
                <w:vertAlign w:val="baseline"/>
                <w:lang w:val="en-US" w:eastAsia="zh-CN"/>
              </w:rPr>
            </w:pPr>
            <w:r>
              <w:rPr>
                <w:rFonts w:hint="eastAsia"/>
                <w:vertAlign w:val="baseline"/>
                <w:lang w:val="en-US" w:eastAsia="zh-CN"/>
              </w:rPr>
              <w:t xml:space="preserve">Some potential limitation on uplink power transmission and exact regulatory requirement is not decided yet.  </w:t>
            </w:r>
          </w:p>
        </w:tc>
        <w:tc>
          <w:tcPr>
            <w:tcW w:w="772" w:type="pct"/>
            <w:vAlign w:val="top"/>
          </w:tcPr>
          <w:p>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default" w:ascii="Arial" w:hAnsi="Arial" w:cs="Arial"/>
                <w:sz w:val="52"/>
                <w:szCs w:val="52"/>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7" w:type="pct"/>
            <w:vAlign w:val="top"/>
          </w:tcPr>
          <w:p>
            <w:pPr>
              <w:keepNext w:val="0"/>
              <w:keepLines w:val="0"/>
              <w:suppressLineNumbers w:val="0"/>
              <w:tabs>
                <w:tab w:val="left" w:pos="2127"/>
              </w:tabs>
              <w:spacing w:before="0" w:beforeAutospacing="0" w:after="0" w:afterAutospacing="0"/>
              <w:ind w:left="0" w:right="0"/>
              <w:rPr>
                <w:rFonts w:hint="default" w:ascii="Times New Roman" w:hAnsi="Times New Roman" w:eastAsia="宋体" w:cs="Times New Roman"/>
                <w:b/>
                <w:bCs/>
                <w:kern w:val="2"/>
                <w:sz w:val="21"/>
                <w:szCs w:val="22"/>
                <w:vertAlign w:val="baseline"/>
                <w:lang w:val="en-US" w:eastAsia="zh-CN" w:bidi="ar-SA"/>
              </w:rPr>
            </w:pPr>
          </w:p>
        </w:tc>
        <w:tc>
          <w:tcPr>
            <w:tcW w:w="402" w:type="pct"/>
            <w:vAlign w:val="top"/>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DL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UL</w:t>
            </w:r>
          </w:p>
        </w:tc>
        <w:tc>
          <w:tcPr>
            <w:tcW w:w="1149" w:type="pct"/>
          </w:tcPr>
          <w:p>
            <w:pPr>
              <w:keepNext w:val="0"/>
              <w:keepLines w:val="0"/>
              <w:suppressLineNumbers w:val="0"/>
              <w:tabs>
                <w:tab w:val="left" w:pos="2127"/>
              </w:tabs>
              <w:spacing w:before="0" w:beforeAutospacing="0" w:after="0" w:afterAutospacing="0"/>
              <w:ind w:left="0" w:right="0"/>
              <w:rPr>
                <w:rFonts w:hint="eastAsia"/>
                <w:vertAlign w:val="baseline"/>
                <w:lang w:val="en-US" w:eastAsia="zh-CN"/>
              </w:rPr>
            </w:pPr>
          </w:p>
        </w:tc>
        <w:tc>
          <w:tcPr>
            <w:tcW w:w="1105" w:type="pct"/>
          </w:tcPr>
          <w:p>
            <w:pPr>
              <w:keepNext w:val="0"/>
              <w:keepLines w:val="0"/>
              <w:numPr>
                <w:ilvl w:val="0"/>
                <w:numId w:val="13"/>
              </w:numPr>
              <w:suppressLineNumbers w:val="0"/>
              <w:tabs>
                <w:tab w:val="left" w:pos="2127"/>
              </w:tabs>
              <w:spacing w:before="0" w:beforeAutospacing="0" w:after="0" w:afterAutospacing="0"/>
              <w:ind w:left="0" w:leftChars="0" w:right="0" w:firstLine="0" w:firstLineChars="0"/>
              <w:rPr>
                <w:rFonts w:hint="eastAsia"/>
                <w:vertAlign w:val="baseline"/>
                <w:lang w:val="en-US" w:eastAsia="zh-CN"/>
              </w:rPr>
            </w:pPr>
          </w:p>
        </w:tc>
        <w:tc>
          <w:tcPr>
            <w:tcW w:w="772" w:type="pct"/>
            <w:vAlign w:val="top"/>
          </w:tcPr>
          <w:p>
            <w:pPr>
              <w:keepNext w:val="0"/>
              <w:keepLines w:val="0"/>
              <w:suppressLineNumbers w:val="0"/>
              <w:tabs>
                <w:tab w:val="left" w:pos="2127"/>
              </w:tabs>
              <w:spacing w:before="0" w:beforeAutospacing="0" w:after="0" w:afterAutospacing="0"/>
              <w:ind w:left="0" w:right="0"/>
              <w:rPr>
                <w:rFonts w:hint="default" w:ascii="Arial" w:hAnsi="Arial" w:cs="Arial"/>
                <w:sz w:val="52"/>
                <w:szCs w:val="5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7" w:type="pct"/>
            <w:vMerge w:val="restart"/>
          </w:tcPr>
          <w:p>
            <w:pPr>
              <w:keepNext w:val="0"/>
              <w:keepLines w:val="0"/>
              <w:suppressLineNumbers w:val="0"/>
              <w:tabs>
                <w:tab w:val="left" w:pos="2127"/>
              </w:tabs>
              <w:spacing w:before="0" w:beforeAutospacing="0" w:after="0" w:afterAutospacing="0"/>
              <w:ind w:left="0" w:right="0"/>
              <w:rPr>
                <w:rFonts w:hint="eastAsia"/>
                <w:b/>
                <w:bCs/>
                <w:vertAlign w:val="baseline"/>
                <w:lang w:val="en-US" w:eastAsia="zh-CN"/>
              </w:rPr>
            </w:pPr>
            <w:r>
              <w:rPr>
                <w:rFonts w:hint="eastAsia"/>
                <w:b/>
                <w:bCs/>
                <w:vertAlign w:val="baseline"/>
                <w:lang w:val="en-US" w:eastAsia="zh-CN"/>
              </w:rPr>
              <w:t>Option 2-2</w:t>
            </w:r>
          </w:p>
          <w:p>
            <w:pPr>
              <w:keepNext w:val="0"/>
              <w:keepLines w:val="0"/>
              <w:suppressLineNumbers w:val="0"/>
              <w:tabs>
                <w:tab w:val="left" w:pos="2127"/>
              </w:tabs>
              <w:spacing w:before="0" w:beforeAutospacing="0" w:after="0" w:afterAutospacing="0"/>
              <w:ind w:left="0" w:right="0"/>
              <w:rPr>
                <w:rFonts w:hint="eastAsia"/>
                <w:b/>
                <w:bCs/>
                <w:vertAlign w:val="baseline"/>
                <w:lang w:val="en-US" w:eastAsia="zh-CN"/>
              </w:rPr>
            </w:pPr>
          </w:p>
        </w:tc>
        <w:tc>
          <w:tcPr>
            <w:tcW w:w="402" w:type="pct"/>
            <w:vAlign w:val="top"/>
          </w:tcPr>
          <w:p>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DL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DL</w:t>
            </w:r>
          </w:p>
        </w:tc>
        <w:tc>
          <w:tcPr>
            <w:tcW w:w="1149"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 xml:space="preserve">To follow the BS output limitation as FR1 MR and LA BS at least; </w:t>
            </w:r>
          </w:p>
        </w:tc>
        <w:tc>
          <w:tcPr>
            <w:tcW w:w="1105" w:type="pct"/>
          </w:tcPr>
          <w:p>
            <w:pPr>
              <w:keepNext w:val="0"/>
              <w:keepLines w:val="0"/>
              <w:numPr>
                <w:ilvl w:val="0"/>
                <w:numId w:val="14"/>
              </w:numPr>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The impacts of R2D/CW signals towards the the legacy UE e.g. CW signal and R2D signal;</w:t>
            </w:r>
          </w:p>
          <w:p>
            <w:pPr>
              <w:keepNext w:val="0"/>
              <w:keepLines w:val="0"/>
              <w:numPr>
                <w:ilvl w:val="0"/>
                <w:numId w:val="14"/>
              </w:numPr>
              <w:suppressLineNumbers w:val="0"/>
              <w:tabs>
                <w:tab w:val="left" w:pos="2127"/>
              </w:tabs>
              <w:spacing w:before="0" w:beforeAutospacing="0" w:after="0" w:afterAutospacing="0"/>
              <w:ind w:left="0" w:leftChars="0" w:right="0" w:firstLine="0" w:firstLineChars="0"/>
              <w:rPr>
                <w:rFonts w:hint="eastAsia"/>
                <w:highlight w:val="yellow"/>
                <w:vertAlign w:val="baseline"/>
                <w:lang w:val="en-US" w:eastAsia="zh-CN"/>
              </w:rPr>
            </w:pPr>
            <w:r>
              <w:rPr>
                <w:rFonts w:hint="eastAsia"/>
                <w:highlight w:val="yellow"/>
                <w:vertAlign w:val="baseline"/>
                <w:lang w:val="en-US" w:eastAsia="zh-CN"/>
              </w:rPr>
              <w:t xml:space="preserve">The impacts of legacy BS transmission on A-IoT BS reception similar as SBFD due to co-site deployment. </w:t>
            </w:r>
          </w:p>
          <w:p>
            <w:pPr>
              <w:keepNext w:val="0"/>
              <w:keepLines w:val="0"/>
              <w:suppressLineNumbers w:val="0"/>
              <w:tabs>
                <w:tab w:val="left" w:pos="2127"/>
              </w:tabs>
              <w:spacing w:before="0" w:beforeAutospacing="0" w:after="0" w:afterAutospacing="0"/>
              <w:ind w:left="0" w:right="0"/>
              <w:rPr>
                <w:rFonts w:hint="default"/>
                <w:vertAlign w:val="baseline"/>
                <w:lang w:val="en-US" w:eastAsia="zh-CN"/>
              </w:rPr>
            </w:pPr>
          </w:p>
        </w:tc>
        <w:tc>
          <w:tcPr>
            <w:tcW w:w="772" w:type="pct"/>
            <w:vAlign w:val="top"/>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default" w:ascii="Arial" w:hAnsi="Arial" w:cs="Arial"/>
                <w:color w:val="FF0000"/>
                <w:sz w:val="52"/>
                <w:szCs w:val="52"/>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7" w:type="pct"/>
            <w:vMerge w:val="continue"/>
          </w:tcPr>
          <w:p>
            <w:pPr>
              <w:keepNext w:val="0"/>
              <w:keepLines w:val="0"/>
              <w:suppressLineNumbers w:val="0"/>
              <w:tabs>
                <w:tab w:val="left" w:pos="2127"/>
              </w:tabs>
              <w:spacing w:before="0" w:beforeAutospacing="0" w:after="0" w:afterAutospacing="0"/>
              <w:ind w:left="0" w:right="0"/>
              <w:rPr>
                <w:rFonts w:hint="eastAsia"/>
                <w:vertAlign w:val="baseline"/>
                <w:lang w:val="en-US" w:eastAsia="zh-CN"/>
              </w:rPr>
            </w:pPr>
          </w:p>
        </w:tc>
        <w:tc>
          <w:tcPr>
            <w:tcW w:w="402" w:type="pct"/>
            <w:vAlign w:val="top"/>
          </w:tcPr>
          <w:p>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UL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UL</w:t>
            </w:r>
          </w:p>
        </w:tc>
        <w:tc>
          <w:tcPr>
            <w:tcW w:w="1149"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No impacts on the legacy UE reception</w:t>
            </w:r>
          </w:p>
        </w:tc>
        <w:tc>
          <w:tcPr>
            <w:tcW w:w="1105" w:type="pct"/>
          </w:tcPr>
          <w:p>
            <w:pPr>
              <w:keepNext w:val="0"/>
              <w:keepLines w:val="0"/>
              <w:numPr>
                <w:ilvl w:val="0"/>
                <w:numId w:val="15"/>
              </w:numPr>
              <w:suppressLineNumbers w:val="0"/>
              <w:tabs>
                <w:tab w:val="left" w:pos="2127"/>
              </w:tabs>
              <w:spacing w:before="0" w:beforeAutospacing="0" w:after="0" w:afterAutospacing="0"/>
              <w:ind w:left="0" w:right="0"/>
              <w:rPr>
                <w:rFonts w:hint="eastAsia"/>
                <w:vertAlign w:val="baseline"/>
                <w:lang w:val="en-US" w:eastAsia="zh-CN"/>
              </w:rPr>
            </w:pPr>
            <w:r>
              <w:rPr>
                <w:rFonts w:hint="eastAsia"/>
                <w:vertAlign w:val="baseline"/>
                <w:lang w:val="en-US" w:eastAsia="zh-CN"/>
              </w:rPr>
              <w:t xml:space="preserve">the impacts of R2D/CW signals towards the the legacy BS. </w:t>
            </w:r>
          </w:p>
          <w:p>
            <w:pPr>
              <w:keepNext w:val="0"/>
              <w:keepLines w:val="0"/>
              <w:numPr>
                <w:ilvl w:val="0"/>
                <w:numId w:val="15"/>
              </w:numPr>
              <w:suppressLineNumbers w:val="0"/>
              <w:tabs>
                <w:tab w:val="left" w:pos="2127"/>
              </w:tabs>
              <w:spacing w:before="0" w:beforeAutospacing="0" w:after="0" w:afterAutospacing="0"/>
              <w:ind w:left="0" w:leftChars="0" w:right="0" w:firstLine="0" w:firstLineChars="0"/>
              <w:rPr>
                <w:rFonts w:hint="default"/>
                <w:vertAlign w:val="baseline"/>
                <w:lang w:val="en-US" w:eastAsia="zh-CN"/>
              </w:rPr>
            </w:pPr>
            <w:r>
              <w:rPr>
                <w:rFonts w:hint="eastAsia"/>
                <w:vertAlign w:val="baseline"/>
                <w:lang w:val="en-US" w:eastAsia="zh-CN"/>
              </w:rPr>
              <w:t xml:space="preserve">Some potential limitation on uplink power transmission and exact regulatory requirement is not decided yet.  </w:t>
            </w:r>
          </w:p>
        </w:tc>
        <w:tc>
          <w:tcPr>
            <w:tcW w:w="772" w:type="pct"/>
            <w:vAlign w:val="top"/>
          </w:tcPr>
          <w:p>
            <w:pPr>
              <w:keepNext w:val="0"/>
              <w:keepLines w:val="0"/>
              <w:suppressLineNumbers w:val="0"/>
              <w:tabs>
                <w:tab w:val="left" w:pos="2127"/>
              </w:tabs>
              <w:spacing w:before="0" w:beforeAutospacing="0" w:after="0" w:afterAutospacing="0"/>
              <w:ind w:left="0" w:right="0"/>
              <w:rPr>
                <w:rFonts w:hint="eastAsia"/>
                <w:vertAlign w:val="baseline"/>
                <w:lang w:val="en-US" w:eastAsia="zh-CN"/>
              </w:rPr>
            </w:pPr>
            <w:r>
              <w:rPr>
                <w:rFonts w:hint="default" w:ascii="Arial" w:hAnsi="Arial" w:cs="Arial"/>
                <w:sz w:val="52"/>
                <w:szCs w:val="52"/>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97" w:type="pct"/>
          </w:tcPr>
          <w:p>
            <w:pPr>
              <w:keepNext w:val="0"/>
              <w:keepLines w:val="0"/>
              <w:suppressLineNumbers w:val="0"/>
              <w:tabs>
                <w:tab w:val="left" w:pos="2127"/>
              </w:tabs>
              <w:spacing w:before="0" w:beforeAutospacing="0" w:after="0" w:afterAutospacing="0"/>
              <w:ind w:left="0" w:right="0"/>
              <w:rPr>
                <w:rFonts w:hint="eastAsia"/>
                <w:vertAlign w:val="baseline"/>
                <w:lang w:val="en-US" w:eastAsia="zh-CN"/>
              </w:rPr>
            </w:pPr>
          </w:p>
        </w:tc>
        <w:tc>
          <w:tcPr>
            <w:tcW w:w="402" w:type="pct"/>
            <w:vAlign w:val="top"/>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DL</w:t>
            </w:r>
          </w:p>
        </w:tc>
        <w:tc>
          <w:tcPr>
            <w:tcW w:w="872" w:type="pct"/>
          </w:tcPr>
          <w:p>
            <w:pPr>
              <w:keepNext w:val="0"/>
              <w:keepLines w:val="0"/>
              <w:suppressLineNumbers w:val="0"/>
              <w:tabs>
                <w:tab w:val="left" w:pos="2127"/>
              </w:tabs>
              <w:spacing w:before="0" w:beforeAutospacing="0" w:after="0" w:afterAutospacing="0"/>
              <w:ind w:left="0" w:right="0"/>
              <w:rPr>
                <w:rFonts w:hint="default"/>
                <w:vertAlign w:val="baseline"/>
                <w:lang w:val="en-US" w:eastAsia="zh-CN"/>
              </w:rPr>
            </w:pPr>
            <w:r>
              <w:rPr>
                <w:rFonts w:hint="eastAsia"/>
                <w:vertAlign w:val="baseline"/>
                <w:lang w:val="en-US" w:eastAsia="zh-CN"/>
              </w:rPr>
              <w:t>UL</w:t>
            </w:r>
          </w:p>
        </w:tc>
        <w:tc>
          <w:tcPr>
            <w:tcW w:w="1149" w:type="pct"/>
          </w:tcPr>
          <w:p>
            <w:pPr>
              <w:keepNext w:val="0"/>
              <w:keepLines w:val="0"/>
              <w:suppressLineNumbers w:val="0"/>
              <w:tabs>
                <w:tab w:val="left" w:pos="2127"/>
              </w:tabs>
              <w:spacing w:before="0" w:beforeAutospacing="0" w:after="0" w:afterAutospacing="0"/>
              <w:ind w:left="0" w:right="0"/>
              <w:rPr>
                <w:rFonts w:hint="eastAsia"/>
                <w:vertAlign w:val="baseline"/>
                <w:lang w:val="en-US" w:eastAsia="zh-CN"/>
              </w:rPr>
            </w:pPr>
          </w:p>
        </w:tc>
        <w:tc>
          <w:tcPr>
            <w:tcW w:w="1105" w:type="pct"/>
          </w:tcPr>
          <w:p>
            <w:pPr>
              <w:keepNext w:val="0"/>
              <w:keepLines w:val="0"/>
              <w:numPr>
                <w:ilvl w:val="0"/>
                <w:numId w:val="15"/>
              </w:numPr>
              <w:suppressLineNumbers w:val="0"/>
              <w:tabs>
                <w:tab w:val="left" w:pos="2127"/>
              </w:tabs>
              <w:spacing w:before="0" w:beforeAutospacing="0" w:after="0" w:afterAutospacing="0"/>
              <w:ind w:left="0" w:leftChars="0" w:right="0" w:firstLine="0" w:firstLineChars="0"/>
              <w:rPr>
                <w:rFonts w:hint="eastAsia"/>
                <w:vertAlign w:val="baseline"/>
                <w:lang w:val="en-US" w:eastAsia="zh-CN"/>
              </w:rPr>
            </w:pPr>
          </w:p>
        </w:tc>
        <w:tc>
          <w:tcPr>
            <w:tcW w:w="772" w:type="pct"/>
            <w:vAlign w:val="top"/>
          </w:tcPr>
          <w:p>
            <w:pPr>
              <w:keepNext w:val="0"/>
              <w:keepLines w:val="0"/>
              <w:suppressLineNumbers w:val="0"/>
              <w:tabs>
                <w:tab w:val="left" w:pos="2127"/>
              </w:tabs>
              <w:spacing w:before="0" w:beforeAutospacing="0" w:after="0" w:afterAutospacing="0"/>
              <w:ind w:left="0" w:right="0"/>
              <w:rPr>
                <w:rFonts w:hint="default" w:ascii="Arial" w:hAnsi="Arial" w:cs="Arial"/>
                <w:sz w:val="52"/>
                <w:szCs w:val="5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6"/>
          </w:tcPr>
          <w:p>
            <w:pPr>
              <w:pStyle w:val="37"/>
              <w:keepNext w:val="0"/>
              <w:keepLines w:val="0"/>
              <w:numPr>
                <w:ilvl w:val="0"/>
                <w:numId w:val="0"/>
              </w:numPr>
              <w:suppressLineNumbers w:val="0"/>
              <w:spacing w:before="0" w:beforeAutospacing="0" w:afterAutospacing="0"/>
              <w:ind w:left="0" w:leftChars="0" w:right="0"/>
              <w:rPr>
                <w:rFonts w:hint="default" w:ascii="Arial" w:hAnsi="Arial" w:cs="Arial"/>
                <w:sz w:val="52"/>
                <w:szCs w:val="52"/>
                <w:vertAlign w:val="baseline"/>
                <w:lang w:val="en-US" w:eastAsia="zh-CN"/>
              </w:rPr>
            </w:pPr>
            <w:r>
              <w:rPr>
                <w:rFonts w:hint="eastAsia" w:eastAsiaTheme="minorEastAsia"/>
                <w:lang w:val="en-US" w:eastAsia="zh-CN"/>
              </w:rPr>
              <w:t>Note 1:  Prioritize device 1 and 2a without a frequency shifter for coexistence evaluation.</w:t>
            </w:r>
          </w:p>
        </w:tc>
      </w:tr>
    </w:tbl>
    <w:p>
      <w:pPr>
        <w:tabs>
          <w:tab w:val="left" w:pos="2127"/>
        </w:tabs>
        <w:spacing w:after="0"/>
        <w:rPr>
          <w:rFonts w:hint="eastAsia"/>
          <w:lang w:val="en-US" w:eastAsia="zh-CN"/>
        </w:rPr>
      </w:pPr>
    </w:p>
    <w:p>
      <w:pPr>
        <w:tabs>
          <w:tab w:val="left" w:pos="2127"/>
        </w:tabs>
        <w:spacing w:after="0"/>
        <w:rPr>
          <w:rFonts w:hint="default"/>
          <w:lang w:val="en-US" w:eastAsia="zh-CN"/>
        </w:rPr>
        <w:sectPr>
          <w:pgSz w:w="16838" w:h="11906" w:orient="landscape"/>
          <w:pgMar w:top="1080" w:right="1440" w:bottom="1080" w:left="1440" w:header="851" w:footer="992" w:gutter="0"/>
          <w:pgBorders>
            <w:top w:val="none" w:sz="0" w:space="0"/>
            <w:left w:val="none" w:sz="0" w:space="0"/>
            <w:bottom w:val="none" w:sz="0" w:space="0"/>
            <w:right w:val="none" w:sz="0" w:space="0"/>
          </w:pgBorders>
          <w:cols w:space="720" w:num="1"/>
          <w:docGrid w:type="lines" w:linePitch="312" w:charSpace="0"/>
        </w:sectPr>
      </w:pPr>
    </w:p>
    <w:p>
      <w:pPr>
        <w:tabs>
          <w:tab w:val="left" w:pos="2127"/>
        </w:tabs>
        <w:spacing w:after="0"/>
        <w:rPr>
          <w:rFonts w:hint="eastAsia"/>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deployment scenarios and spectrum usage </w:t>
      </w:r>
      <w:r>
        <w:rPr>
          <w:rFonts w:hint="eastAsia" w:eastAsiaTheme="minorEastAsia"/>
          <w:lang w:val="en-US" w:eastAsia="zh-CN"/>
        </w:rPr>
        <w:t xml:space="preserve">and proposals are made as following: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b/>
          <w:bCs/>
          <w:lang w:val="en-US" w:eastAsia="zh-CN"/>
        </w:rPr>
        <w:t>Proposal 1</w:t>
      </w:r>
      <w:r>
        <w:rPr>
          <w:rFonts w:hint="eastAsia"/>
          <w:lang w:val="en-US" w:eastAsia="zh-CN"/>
        </w:rPr>
        <w:t xml:space="preserve">: for D1T1 deployment scenario, Option 1-2 should be taken into account as baseline even under the assumptions of without 900MHz indoor BS deployed. </w:t>
      </w:r>
    </w:p>
    <w:p>
      <w:pPr>
        <w:tabs>
          <w:tab w:val="left" w:pos="2127"/>
        </w:tabs>
        <w:spacing w:after="0"/>
        <w:rPr>
          <w:rFonts w:hint="default"/>
          <w:lang w:val="en-US" w:eastAsia="zh-CN"/>
        </w:rPr>
      </w:pPr>
      <w:r>
        <w:rPr>
          <w:rFonts w:hint="eastAsia"/>
          <w:b/>
          <w:bCs/>
          <w:lang w:val="en-US" w:eastAsia="zh-CN"/>
        </w:rPr>
        <w:t>Proposal 2</w:t>
      </w:r>
      <w:r>
        <w:rPr>
          <w:rFonts w:hint="eastAsia"/>
          <w:lang w:val="en-US" w:eastAsia="zh-CN"/>
        </w:rPr>
        <w:t xml:space="preserve">: for D1T1 deployment scenario, Option 2-1 and 2-2 should be also considered according to the WID description. </w:t>
      </w:r>
    </w:p>
    <w:p>
      <w:pPr>
        <w:tabs>
          <w:tab w:val="left" w:pos="2127"/>
        </w:tabs>
        <w:spacing w:after="0"/>
        <w:rPr>
          <w:rFonts w:hint="default"/>
          <w:lang w:val="en-US" w:eastAsia="zh-CN"/>
        </w:rPr>
      </w:pPr>
      <w:r>
        <w:rPr>
          <w:rFonts w:hint="eastAsia"/>
          <w:b/>
          <w:bCs/>
          <w:lang w:val="en-US" w:eastAsia="zh-CN"/>
        </w:rPr>
        <w:t>Proposal 3</w:t>
      </w:r>
      <w:r>
        <w:rPr>
          <w:rFonts w:hint="eastAsia"/>
          <w:lang w:val="en-US" w:eastAsia="zh-CN"/>
        </w:rPr>
        <w:t xml:space="preserve">: for D1T1 deployment scenario, Option 2-2 could be treated as worse case compared with option 2-1. </w:t>
      </w:r>
    </w:p>
    <w:p>
      <w:pPr>
        <w:tabs>
          <w:tab w:val="left" w:pos="2127"/>
        </w:tabs>
        <w:spacing w:after="0"/>
        <w:rPr>
          <w:rFonts w:hint="eastAsia"/>
          <w:lang w:val="en-US" w:eastAsia="zh-CN"/>
        </w:rPr>
      </w:pPr>
      <w:r>
        <w:rPr>
          <w:rFonts w:hint="eastAsia"/>
          <w:b/>
          <w:bCs/>
          <w:lang w:val="en-US" w:eastAsia="zh-CN"/>
        </w:rPr>
        <w:t>Proposal 4</w:t>
      </w:r>
      <w:r>
        <w:rPr>
          <w:rFonts w:hint="eastAsia"/>
          <w:lang w:val="en-US" w:eastAsia="zh-CN"/>
        </w:rPr>
        <w:t xml:space="preserve">: for D2T2 deployment scenario, Option 1-2 should be taken into account as baseline even under the assumptions of without 900MHz indoor BS deployed. </w:t>
      </w:r>
    </w:p>
    <w:p>
      <w:pPr>
        <w:tabs>
          <w:tab w:val="left" w:pos="2127"/>
        </w:tabs>
        <w:spacing w:after="0"/>
        <w:rPr>
          <w:rFonts w:hint="default" w:eastAsiaTheme="minorEastAsia"/>
          <w:lang w:val="en-US" w:eastAsia="zh-CN"/>
        </w:rPr>
      </w:pPr>
      <w:r>
        <w:rPr>
          <w:rFonts w:hint="eastAsia"/>
          <w:b/>
          <w:bCs/>
          <w:lang w:val="en-US" w:eastAsia="zh-CN"/>
        </w:rPr>
        <w:t>Proposal 5</w:t>
      </w:r>
      <w:r>
        <w:rPr>
          <w:rFonts w:hint="eastAsia"/>
          <w:lang w:val="en-US" w:eastAsia="zh-CN"/>
        </w:rPr>
        <w:t xml:space="preserve">: please check the technical analysis for spectrum usage of D1T1 in Table 1. </w:t>
      </w:r>
    </w:p>
    <w:p>
      <w:pPr>
        <w:pStyle w:val="58"/>
        <w:tabs>
          <w:tab w:val="left" w:pos="567"/>
          <w:tab w:val="clear" w:pos="1985"/>
        </w:tabs>
        <w:adjustRightInd w:val="0"/>
        <w:ind w:left="510" w:hanging="510"/>
      </w:pPr>
      <w:r>
        <w:t>References</w:t>
      </w:r>
    </w:p>
    <w:p>
      <w:pPr>
        <w:pStyle w:val="56"/>
        <w:numPr>
          <w:ilvl w:val="0"/>
          <w:numId w:val="16"/>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pPr>
        <w:pStyle w:val="56"/>
        <w:numPr>
          <w:ilvl w:val="0"/>
          <w:numId w:val="16"/>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"http://10.10.10.10/ftp/RAN/RAN4/Inbox/R4-2406714.zip" </w:instrText>
      </w:r>
      <w:r>
        <w:rPr>
          <w:rFonts w:hint="eastAsia"/>
          <w:sz w:val="20"/>
          <w:szCs w:val="20"/>
          <w:lang w:val="en-US" w:eastAsia="zh-CN"/>
        </w:rPr>
        <w:fldChar w:fldCharType="separate"/>
      </w:r>
      <w:r>
        <w:rPr>
          <w:rFonts w:hint="eastAsia"/>
          <w:sz w:val="20"/>
          <w:szCs w:val="20"/>
          <w:lang w:val="en-US" w:eastAsia="zh-CN"/>
        </w:rPr>
        <w:t>R4-2406714</w:t>
      </w:r>
      <w:r>
        <w:rPr>
          <w:rFonts w:hint="eastAsia"/>
          <w:sz w:val="20"/>
          <w:szCs w:val="20"/>
          <w:lang w:val="en-US" w:eastAsia="zh-CN"/>
        </w:rPr>
        <w:fldChar w:fldCharType="end"/>
      </w:r>
      <w:r>
        <w:rPr>
          <w:rFonts w:hint="eastAsia"/>
          <w:sz w:val="20"/>
          <w:szCs w:val="20"/>
          <w:lang w:val="en-US" w:eastAsia="zh-CN"/>
        </w:rPr>
        <w:t>,WF on Ambient IoT in NR,CMCC,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mn-ea">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0C6D1"/>
    <w:multiLevelType w:val="singleLevel"/>
    <w:tmpl w:val="9C60C6D1"/>
    <w:lvl w:ilvl="0" w:tentative="0">
      <w:start w:val="1"/>
      <w:numFmt w:val="decimal"/>
      <w:suff w:val="space"/>
      <w:lvlText w:val="%1)"/>
      <w:lvlJc w:val="left"/>
    </w:lvl>
  </w:abstractNum>
  <w:abstractNum w:abstractNumId="1">
    <w:nsid w:val="A1AA019A"/>
    <w:multiLevelType w:val="singleLevel"/>
    <w:tmpl w:val="A1AA019A"/>
    <w:lvl w:ilvl="0" w:tentative="0">
      <w:start w:val="1"/>
      <w:numFmt w:val="decimal"/>
      <w:suff w:val="space"/>
      <w:lvlText w:val="%1)"/>
      <w:lvlJc w:val="left"/>
    </w:lvl>
  </w:abstractNum>
  <w:abstractNum w:abstractNumId="2">
    <w:nsid w:val="BE7AE9EE"/>
    <w:multiLevelType w:val="singleLevel"/>
    <w:tmpl w:val="BE7AE9EE"/>
    <w:lvl w:ilvl="0" w:tentative="0">
      <w:start w:val="1"/>
      <w:numFmt w:val="decimal"/>
      <w:suff w:val="space"/>
      <w:lvlText w:val="%1)"/>
      <w:lvlJc w:val="left"/>
    </w:lvl>
  </w:abstractNum>
  <w:abstractNum w:abstractNumId="3">
    <w:nsid w:val="DFAE1895"/>
    <w:multiLevelType w:val="singleLevel"/>
    <w:tmpl w:val="DFAE1895"/>
    <w:lvl w:ilvl="0" w:tentative="0">
      <w:start w:val="1"/>
      <w:numFmt w:val="decimal"/>
      <w:suff w:val="space"/>
      <w:lvlText w:val="[%1]"/>
      <w:lvlJc w:val="left"/>
    </w:lvl>
  </w:abstractNum>
  <w:abstractNum w:abstractNumId="4">
    <w:nsid w:val="F5B7E79F"/>
    <w:multiLevelType w:val="multilevel"/>
    <w:tmpl w:val="F5B7E79F"/>
    <w:lvl w:ilvl="0" w:tentative="0">
      <w:start w:val="1"/>
      <w:numFmt w:val="bullet"/>
      <w:lvlText w:val=""/>
      <w:lvlJc w:val="left"/>
      <w:pPr>
        <w:ind w:left="1080" w:hanging="360"/>
      </w:pPr>
      <w:rPr>
        <w:rFonts w:ascii="Symbol" w:hAnsi="Symbol" w:eastAsia="宋体" w:cs="Times New Roman"/>
      </w:rPr>
    </w:lvl>
    <w:lvl w:ilvl="1" w:tentative="0">
      <w:start w:val="1"/>
      <w:numFmt w:val="bullet"/>
      <w:lvlText w:val="o"/>
      <w:lvlJc w:val="left"/>
      <w:pPr>
        <w:ind w:left="1800" w:hanging="360"/>
      </w:pPr>
      <w:rPr>
        <w:rFonts w:ascii="Courier New" w:hAnsi="Courier New" w:cs="Courier New"/>
      </w:rPr>
    </w:lvl>
    <w:lvl w:ilvl="2" w:tentative="0">
      <w:start w:val="1"/>
      <w:numFmt w:val="bullet"/>
      <w:lvlText w:val=""/>
      <w:lvlJc w:val="left"/>
      <w:pPr>
        <w:ind w:left="2520" w:hanging="360"/>
      </w:pPr>
      <w:rPr>
        <w:rFonts w:hint="default" w:ascii="Wingdings" w:hAnsi="Wingdings" w:cs="Wingdings"/>
      </w:rPr>
    </w:lvl>
    <w:lvl w:ilvl="3" w:tentative="0">
      <w:start w:val="1"/>
      <w:numFmt w:val="bullet"/>
      <w:lvlText w:val=""/>
      <w:lvlJc w:val="left"/>
      <w:pPr>
        <w:ind w:left="3240" w:hanging="360"/>
      </w:pPr>
      <w:rPr>
        <w:rFonts w:hint="default" w:ascii="Symbol" w:hAnsi="Symbol" w:cs="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cs="Wingdings"/>
      </w:rPr>
    </w:lvl>
    <w:lvl w:ilvl="6" w:tentative="0">
      <w:start w:val="1"/>
      <w:numFmt w:val="bullet"/>
      <w:lvlText w:val=""/>
      <w:lvlJc w:val="left"/>
      <w:pPr>
        <w:ind w:left="5400" w:hanging="360"/>
      </w:pPr>
      <w:rPr>
        <w:rFonts w:hint="default" w:ascii="Symbol" w:hAnsi="Symbol" w:cs="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cs="Wingdings"/>
      </w:rPr>
    </w:lvl>
  </w:abstractNum>
  <w:abstractNum w:abstractNumId="5">
    <w:nsid w:val="F76FAF29"/>
    <w:multiLevelType w:val="singleLevel"/>
    <w:tmpl w:val="F76FAF29"/>
    <w:lvl w:ilvl="0" w:tentative="0">
      <w:start w:val="1"/>
      <w:numFmt w:val="decimal"/>
      <w:suff w:val="space"/>
      <w:lvlText w:val="%1)"/>
      <w:lvlJc w:val="left"/>
    </w:lvl>
  </w:abstractNum>
  <w:abstractNum w:abstractNumId="6">
    <w:nsid w:val="097A406A"/>
    <w:multiLevelType w:val="multilevel"/>
    <w:tmpl w:val="097A40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0F513A1C"/>
    <w:multiLevelType w:val="multilevel"/>
    <w:tmpl w:val="0F513A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51B67B3"/>
    <w:multiLevelType w:val="multilevel"/>
    <w:tmpl w:val="151B67B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1B6E330B"/>
    <w:multiLevelType w:val="singleLevel"/>
    <w:tmpl w:val="1B6E330B"/>
    <w:lvl w:ilvl="0" w:tentative="0">
      <w:start w:val="1"/>
      <w:numFmt w:val="decimal"/>
      <w:suff w:val="space"/>
      <w:lvlText w:val="%1)"/>
      <w:lvlJc w:val="left"/>
    </w:lvl>
  </w:abstractNum>
  <w:abstractNum w:abstractNumId="10">
    <w:nsid w:val="3E5CAAE9"/>
    <w:multiLevelType w:val="singleLevel"/>
    <w:tmpl w:val="3E5CAAE9"/>
    <w:lvl w:ilvl="0" w:tentative="0">
      <w:start w:val="1"/>
      <w:numFmt w:val="decimal"/>
      <w:suff w:val="space"/>
      <w:lvlText w:val="%1)"/>
      <w:lvlJc w:val="left"/>
    </w:lvl>
  </w:abstractNum>
  <w:abstractNum w:abstractNumId="11">
    <w:nsid w:val="427B087A"/>
    <w:multiLevelType w:val="multilevel"/>
    <w:tmpl w:val="427B087A"/>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C0FF175"/>
    <w:multiLevelType w:val="singleLevel"/>
    <w:tmpl w:val="4C0FF175"/>
    <w:lvl w:ilvl="0" w:tentative="0">
      <w:start w:val="1"/>
      <w:numFmt w:val="decimal"/>
      <w:suff w:val="space"/>
      <w:lvlText w:val="%1)"/>
      <w:lvlJc w:val="left"/>
    </w:lvl>
  </w:abstractNum>
  <w:abstractNum w:abstractNumId="13">
    <w:nsid w:val="50869C5F"/>
    <w:multiLevelType w:val="singleLevel"/>
    <w:tmpl w:val="50869C5F"/>
    <w:lvl w:ilvl="0" w:tentative="0">
      <w:start w:val="1"/>
      <w:numFmt w:val="decimal"/>
      <w:suff w:val="space"/>
      <w:lvlText w:val="%1)"/>
      <w:lvlJc w:val="left"/>
    </w:lvl>
  </w:abstractNum>
  <w:abstractNum w:abstractNumId="14">
    <w:nsid w:val="552C36F0"/>
    <w:multiLevelType w:val="multilevel"/>
    <w:tmpl w:val="552C36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5"/>
  </w:num>
  <w:num w:numId="2">
    <w:abstractNumId w:val="6"/>
  </w:num>
  <w:num w:numId="3">
    <w:abstractNumId w:val="8"/>
  </w:num>
  <w:num w:numId="4">
    <w:abstractNumId w:val="14"/>
  </w:num>
  <w:num w:numId="5">
    <w:abstractNumId w:val="7"/>
  </w:num>
  <w:num w:numId="6">
    <w:abstractNumId w:val="11"/>
  </w:num>
  <w:num w:numId="7">
    <w:abstractNumId w:val="4"/>
  </w:num>
  <w:num w:numId="8">
    <w:abstractNumId w:val="9"/>
  </w:num>
  <w:num w:numId="9">
    <w:abstractNumId w:val="13"/>
  </w:num>
  <w:num w:numId="10">
    <w:abstractNumId w:val="0"/>
  </w:num>
  <w:num w:numId="11">
    <w:abstractNumId w:val="12"/>
  </w:num>
  <w:num w:numId="12">
    <w:abstractNumId w:val="1"/>
  </w:num>
  <w:num w:numId="13">
    <w:abstractNumId w:val="10"/>
  </w:num>
  <w:num w:numId="14">
    <w:abstractNumId w:val="5"/>
  </w:num>
  <w:num w:numId="15">
    <w:abstractNumId w:val="2"/>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177"/>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7754D"/>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21D8F"/>
    <w:rsid w:val="01864D3B"/>
    <w:rsid w:val="018B2CF0"/>
    <w:rsid w:val="018C2266"/>
    <w:rsid w:val="018C3642"/>
    <w:rsid w:val="018D7DCE"/>
    <w:rsid w:val="0195201D"/>
    <w:rsid w:val="019C3DA8"/>
    <w:rsid w:val="019E267E"/>
    <w:rsid w:val="01A402CD"/>
    <w:rsid w:val="01A6094A"/>
    <w:rsid w:val="01A742A2"/>
    <w:rsid w:val="01B330C9"/>
    <w:rsid w:val="01B616E6"/>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07837"/>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7E0F0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64C19"/>
    <w:rsid w:val="02E929C0"/>
    <w:rsid w:val="02F573DC"/>
    <w:rsid w:val="02F5745D"/>
    <w:rsid w:val="02F95CD1"/>
    <w:rsid w:val="02FF1F3E"/>
    <w:rsid w:val="030005FD"/>
    <w:rsid w:val="03001C79"/>
    <w:rsid w:val="030150CB"/>
    <w:rsid w:val="030313BA"/>
    <w:rsid w:val="03142F2C"/>
    <w:rsid w:val="0315569B"/>
    <w:rsid w:val="031712C4"/>
    <w:rsid w:val="03186045"/>
    <w:rsid w:val="031967AA"/>
    <w:rsid w:val="031A5DF1"/>
    <w:rsid w:val="031E0FAC"/>
    <w:rsid w:val="031E4C95"/>
    <w:rsid w:val="031F3DF1"/>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6B636F"/>
    <w:rsid w:val="03774924"/>
    <w:rsid w:val="037A0BF7"/>
    <w:rsid w:val="03822F79"/>
    <w:rsid w:val="03854DBA"/>
    <w:rsid w:val="038B3715"/>
    <w:rsid w:val="039444D7"/>
    <w:rsid w:val="039568DC"/>
    <w:rsid w:val="0395764C"/>
    <w:rsid w:val="039B69FD"/>
    <w:rsid w:val="03A32E58"/>
    <w:rsid w:val="03AC2829"/>
    <w:rsid w:val="03B728E0"/>
    <w:rsid w:val="03C04931"/>
    <w:rsid w:val="03C0647A"/>
    <w:rsid w:val="03C4766B"/>
    <w:rsid w:val="03C6618A"/>
    <w:rsid w:val="03C80D80"/>
    <w:rsid w:val="03C85CA1"/>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5201D"/>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06C84"/>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A5657"/>
    <w:rsid w:val="06CD3A64"/>
    <w:rsid w:val="06CD47D4"/>
    <w:rsid w:val="06D83C6A"/>
    <w:rsid w:val="06DB688D"/>
    <w:rsid w:val="06DF7EFF"/>
    <w:rsid w:val="06E015C3"/>
    <w:rsid w:val="06E85678"/>
    <w:rsid w:val="06EB12EA"/>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2183D"/>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80484"/>
    <w:rsid w:val="07896FC7"/>
    <w:rsid w:val="078B062A"/>
    <w:rsid w:val="07916BE4"/>
    <w:rsid w:val="079233D0"/>
    <w:rsid w:val="079E798A"/>
    <w:rsid w:val="07A20864"/>
    <w:rsid w:val="07A2728D"/>
    <w:rsid w:val="07A80D41"/>
    <w:rsid w:val="07AA3E51"/>
    <w:rsid w:val="07B9091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7FC2349"/>
    <w:rsid w:val="0800676F"/>
    <w:rsid w:val="080511A2"/>
    <w:rsid w:val="080F4BCD"/>
    <w:rsid w:val="08171593"/>
    <w:rsid w:val="0827264B"/>
    <w:rsid w:val="082A0972"/>
    <w:rsid w:val="0835476E"/>
    <w:rsid w:val="08367FC2"/>
    <w:rsid w:val="08391661"/>
    <w:rsid w:val="084E0029"/>
    <w:rsid w:val="08550FFB"/>
    <w:rsid w:val="085769FB"/>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DB4BDF"/>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27E2B"/>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91E4D"/>
    <w:rsid w:val="099D065B"/>
    <w:rsid w:val="099D22A1"/>
    <w:rsid w:val="09A545D9"/>
    <w:rsid w:val="09A64698"/>
    <w:rsid w:val="09A9204A"/>
    <w:rsid w:val="09AC5074"/>
    <w:rsid w:val="09AD07F3"/>
    <w:rsid w:val="09B01A72"/>
    <w:rsid w:val="09B14A34"/>
    <w:rsid w:val="09B91042"/>
    <w:rsid w:val="09B959E5"/>
    <w:rsid w:val="09BA1421"/>
    <w:rsid w:val="09BA5647"/>
    <w:rsid w:val="09C346F5"/>
    <w:rsid w:val="09C65D3C"/>
    <w:rsid w:val="09CA65A4"/>
    <w:rsid w:val="09CD6A58"/>
    <w:rsid w:val="09CD6EF5"/>
    <w:rsid w:val="09CF12B3"/>
    <w:rsid w:val="09D34B3A"/>
    <w:rsid w:val="09DC40AD"/>
    <w:rsid w:val="09DC463F"/>
    <w:rsid w:val="09E14486"/>
    <w:rsid w:val="09E4648F"/>
    <w:rsid w:val="09F1407D"/>
    <w:rsid w:val="09F21427"/>
    <w:rsid w:val="09F22A67"/>
    <w:rsid w:val="0A035CDE"/>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862D0"/>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738E4"/>
    <w:rsid w:val="0ABA55D8"/>
    <w:rsid w:val="0AC23AEF"/>
    <w:rsid w:val="0AC51ECC"/>
    <w:rsid w:val="0ACD4245"/>
    <w:rsid w:val="0AD57FD6"/>
    <w:rsid w:val="0AD84FAB"/>
    <w:rsid w:val="0ADD7B55"/>
    <w:rsid w:val="0AE00E26"/>
    <w:rsid w:val="0AE23970"/>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C2CC3"/>
    <w:rsid w:val="0B9D381C"/>
    <w:rsid w:val="0B9E13B0"/>
    <w:rsid w:val="0BA50427"/>
    <w:rsid w:val="0BA63040"/>
    <w:rsid w:val="0BAA0B6D"/>
    <w:rsid w:val="0BB02C8B"/>
    <w:rsid w:val="0BB2460A"/>
    <w:rsid w:val="0BB41A6B"/>
    <w:rsid w:val="0BB41CFB"/>
    <w:rsid w:val="0BB53F3C"/>
    <w:rsid w:val="0BC00376"/>
    <w:rsid w:val="0BC601B8"/>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AE1672"/>
    <w:rsid w:val="0CAF0078"/>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E7587"/>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E0749"/>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5678D"/>
    <w:rsid w:val="0DFC48AF"/>
    <w:rsid w:val="0DFF2594"/>
    <w:rsid w:val="0E0313B1"/>
    <w:rsid w:val="0E043FF3"/>
    <w:rsid w:val="0E062A96"/>
    <w:rsid w:val="0E07353A"/>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44FA3"/>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657E"/>
    <w:rsid w:val="0F517CFE"/>
    <w:rsid w:val="0F521719"/>
    <w:rsid w:val="0F571705"/>
    <w:rsid w:val="0F584757"/>
    <w:rsid w:val="0F5F48DA"/>
    <w:rsid w:val="0F684C21"/>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B0868"/>
    <w:rsid w:val="0FD95333"/>
    <w:rsid w:val="0FDA08D0"/>
    <w:rsid w:val="0FDD44E9"/>
    <w:rsid w:val="0FDF3F83"/>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220FC"/>
    <w:rsid w:val="10462479"/>
    <w:rsid w:val="104710A5"/>
    <w:rsid w:val="104830A2"/>
    <w:rsid w:val="104B2D15"/>
    <w:rsid w:val="104D41B8"/>
    <w:rsid w:val="104E13BC"/>
    <w:rsid w:val="10525348"/>
    <w:rsid w:val="10527EF4"/>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501A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17FA9"/>
    <w:rsid w:val="11280A27"/>
    <w:rsid w:val="112F54D2"/>
    <w:rsid w:val="1133321C"/>
    <w:rsid w:val="113B291C"/>
    <w:rsid w:val="11435C3C"/>
    <w:rsid w:val="11457D8C"/>
    <w:rsid w:val="11461F96"/>
    <w:rsid w:val="114C3CA8"/>
    <w:rsid w:val="114D3A1D"/>
    <w:rsid w:val="11562BF2"/>
    <w:rsid w:val="11576536"/>
    <w:rsid w:val="115B66ED"/>
    <w:rsid w:val="115F7B83"/>
    <w:rsid w:val="11607F73"/>
    <w:rsid w:val="11613A1B"/>
    <w:rsid w:val="116A3BB2"/>
    <w:rsid w:val="116D25D5"/>
    <w:rsid w:val="11703DE0"/>
    <w:rsid w:val="117338ED"/>
    <w:rsid w:val="117561EB"/>
    <w:rsid w:val="11781FEE"/>
    <w:rsid w:val="117824F0"/>
    <w:rsid w:val="117E2370"/>
    <w:rsid w:val="117F2E3D"/>
    <w:rsid w:val="11800455"/>
    <w:rsid w:val="11847341"/>
    <w:rsid w:val="11847C41"/>
    <w:rsid w:val="118778A0"/>
    <w:rsid w:val="118D039B"/>
    <w:rsid w:val="118F5855"/>
    <w:rsid w:val="118F5D6B"/>
    <w:rsid w:val="1193388F"/>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8610A"/>
    <w:rsid w:val="11FA2D7A"/>
    <w:rsid w:val="12001240"/>
    <w:rsid w:val="12066C25"/>
    <w:rsid w:val="120916AB"/>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57DDA"/>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350C1"/>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4759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1B0E"/>
    <w:rsid w:val="13E96E8F"/>
    <w:rsid w:val="13ED51EC"/>
    <w:rsid w:val="13F22B81"/>
    <w:rsid w:val="13F41B61"/>
    <w:rsid w:val="13F80FFF"/>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1F05"/>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A376C"/>
    <w:rsid w:val="14AC358C"/>
    <w:rsid w:val="14AD2764"/>
    <w:rsid w:val="14B227CC"/>
    <w:rsid w:val="14B76730"/>
    <w:rsid w:val="14C42DC7"/>
    <w:rsid w:val="14C767C8"/>
    <w:rsid w:val="14DE753E"/>
    <w:rsid w:val="14E16560"/>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56FCA"/>
    <w:rsid w:val="153B59AE"/>
    <w:rsid w:val="153D03B9"/>
    <w:rsid w:val="1542012A"/>
    <w:rsid w:val="15422ACA"/>
    <w:rsid w:val="15472079"/>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CB73D1"/>
    <w:rsid w:val="15CE592F"/>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7A691A"/>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3CFB"/>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2E3BDE"/>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2F7C"/>
    <w:rsid w:val="196C7350"/>
    <w:rsid w:val="19720BF1"/>
    <w:rsid w:val="197557A0"/>
    <w:rsid w:val="19764535"/>
    <w:rsid w:val="198374F4"/>
    <w:rsid w:val="1989194D"/>
    <w:rsid w:val="19894C83"/>
    <w:rsid w:val="198C5D06"/>
    <w:rsid w:val="19A60D37"/>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12F98"/>
    <w:rsid w:val="1A03072C"/>
    <w:rsid w:val="1A045B87"/>
    <w:rsid w:val="1A0B2D46"/>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3E5C55"/>
    <w:rsid w:val="1C441419"/>
    <w:rsid w:val="1C4774DD"/>
    <w:rsid w:val="1C4A45C4"/>
    <w:rsid w:val="1C4B3310"/>
    <w:rsid w:val="1C561E66"/>
    <w:rsid w:val="1C566475"/>
    <w:rsid w:val="1C5D1844"/>
    <w:rsid w:val="1C5D3C4D"/>
    <w:rsid w:val="1C5E3742"/>
    <w:rsid w:val="1C5F23B1"/>
    <w:rsid w:val="1C6D07BF"/>
    <w:rsid w:val="1C6D4144"/>
    <w:rsid w:val="1C726EC3"/>
    <w:rsid w:val="1C793EB9"/>
    <w:rsid w:val="1C7B65E1"/>
    <w:rsid w:val="1C807142"/>
    <w:rsid w:val="1C90266F"/>
    <w:rsid w:val="1C9A166E"/>
    <w:rsid w:val="1C9C48A7"/>
    <w:rsid w:val="1CA16CCE"/>
    <w:rsid w:val="1CA21478"/>
    <w:rsid w:val="1CAA7318"/>
    <w:rsid w:val="1CAB1830"/>
    <w:rsid w:val="1CAD2752"/>
    <w:rsid w:val="1CB702E9"/>
    <w:rsid w:val="1CBA5B32"/>
    <w:rsid w:val="1CBE0F85"/>
    <w:rsid w:val="1CBE5026"/>
    <w:rsid w:val="1CC1651E"/>
    <w:rsid w:val="1CC34B2B"/>
    <w:rsid w:val="1CCD6D74"/>
    <w:rsid w:val="1CD363DF"/>
    <w:rsid w:val="1CD8702E"/>
    <w:rsid w:val="1CD97139"/>
    <w:rsid w:val="1CDA094B"/>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75EDF"/>
    <w:rsid w:val="1D587FD7"/>
    <w:rsid w:val="1D5A17CD"/>
    <w:rsid w:val="1D5A3689"/>
    <w:rsid w:val="1D5E036D"/>
    <w:rsid w:val="1D6033FE"/>
    <w:rsid w:val="1D684015"/>
    <w:rsid w:val="1D6B5AD7"/>
    <w:rsid w:val="1D6F79AF"/>
    <w:rsid w:val="1D76400B"/>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483440"/>
    <w:rsid w:val="1E4E3B2C"/>
    <w:rsid w:val="1E6703B7"/>
    <w:rsid w:val="1E680B85"/>
    <w:rsid w:val="1E6B2336"/>
    <w:rsid w:val="1E712925"/>
    <w:rsid w:val="1E7845CD"/>
    <w:rsid w:val="1E787309"/>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53B18"/>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2B42F3"/>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37BE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F6B08"/>
    <w:rsid w:val="1FDF7828"/>
    <w:rsid w:val="1FE045AC"/>
    <w:rsid w:val="1FE34C59"/>
    <w:rsid w:val="1FE76FD3"/>
    <w:rsid w:val="1FE91483"/>
    <w:rsid w:val="1FED166B"/>
    <w:rsid w:val="1FF05FBA"/>
    <w:rsid w:val="1FF2649D"/>
    <w:rsid w:val="1FF82D26"/>
    <w:rsid w:val="2000119F"/>
    <w:rsid w:val="20007200"/>
    <w:rsid w:val="20023827"/>
    <w:rsid w:val="200D060C"/>
    <w:rsid w:val="200D53BE"/>
    <w:rsid w:val="200E46CD"/>
    <w:rsid w:val="20107ED3"/>
    <w:rsid w:val="201359DF"/>
    <w:rsid w:val="20140382"/>
    <w:rsid w:val="201C304F"/>
    <w:rsid w:val="201C690F"/>
    <w:rsid w:val="20263D53"/>
    <w:rsid w:val="20275ED1"/>
    <w:rsid w:val="202B5057"/>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03300"/>
    <w:rsid w:val="20850EC1"/>
    <w:rsid w:val="20911227"/>
    <w:rsid w:val="209113C3"/>
    <w:rsid w:val="20934FE0"/>
    <w:rsid w:val="209511C3"/>
    <w:rsid w:val="20975384"/>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46E63"/>
    <w:rsid w:val="21065641"/>
    <w:rsid w:val="2107693C"/>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647D"/>
    <w:rsid w:val="216C54DE"/>
    <w:rsid w:val="216E4095"/>
    <w:rsid w:val="217106CC"/>
    <w:rsid w:val="21741E6D"/>
    <w:rsid w:val="217C7971"/>
    <w:rsid w:val="217D44BC"/>
    <w:rsid w:val="21840F69"/>
    <w:rsid w:val="21852244"/>
    <w:rsid w:val="218F61F1"/>
    <w:rsid w:val="21936BCB"/>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D0764"/>
    <w:rsid w:val="21BF03BC"/>
    <w:rsid w:val="21BF480E"/>
    <w:rsid w:val="21C05C8D"/>
    <w:rsid w:val="21C447A5"/>
    <w:rsid w:val="21C83388"/>
    <w:rsid w:val="21CA711F"/>
    <w:rsid w:val="21CB0E2A"/>
    <w:rsid w:val="21D06D34"/>
    <w:rsid w:val="21D372BD"/>
    <w:rsid w:val="21D413E2"/>
    <w:rsid w:val="21D47A13"/>
    <w:rsid w:val="21D52CEC"/>
    <w:rsid w:val="21D83EFE"/>
    <w:rsid w:val="21DC7859"/>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11D2"/>
    <w:rsid w:val="224E39DE"/>
    <w:rsid w:val="224E74D0"/>
    <w:rsid w:val="22520D88"/>
    <w:rsid w:val="22562C47"/>
    <w:rsid w:val="225C1E49"/>
    <w:rsid w:val="22680B07"/>
    <w:rsid w:val="22681A0E"/>
    <w:rsid w:val="226E20BA"/>
    <w:rsid w:val="22713317"/>
    <w:rsid w:val="227D6059"/>
    <w:rsid w:val="227F5037"/>
    <w:rsid w:val="228041D7"/>
    <w:rsid w:val="228A008B"/>
    <w:rsid w:val="228A2082"/>
    <w:rsid w:val="228D63FC"/>
    <w:rsid w:val="228F4698"/>
    <w:rsid w:val="229A7E25"/>
    <w:rsid w:val="229D01C1"/>
    <w:rsid w:val="229F462B"/>
    <w:rsid w:val="22A234E8"/>
    <w:rsid w:val="22A72B65"/>
    <w:rsid w:val="22AA0362"/>
    <w:rsid w:val="22AA773F"/>
    <w:rsid w:val="22AC2870"/>
    <w:rsid w:val="22B059F5"/>
    <w:rsid w:val="22B06BDB"/>
    <w:rsid w:val="22B21CAB"/>
    <w:rsid w:val="22B63FB8"/>
    <w:rsid w:val="22BA2D5C"/>
    <w:rsid w:val="22BA6F2B"/>
    <w:rsid w:val="22BC7DF2"/>
    <w:rsid w:val="22BD19A6"/>
    <w:rsid w:val="22BD504B"/>
    <w:rsid w:val="22C746AF"/>
    <w:rsid w:val="22D141D7"/>
    <w:rsid w:val="22D41540"/>
    <w:rsid w:val="22D61781"/>
    <w:rsid w:val="22E30977"/>
    <w:rsid w:val="22E30F99"/>
    <w:rsid w:val="22E51E43"/>
    <w:rsid w:val="22E93AFB"/>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86907"/>
    <w:rsid w:val="23566DDF"/>
    <w:rsid w:val="23572E7E"/>
    <w:rsid w:val="235924CA"/>
    <w:rsid w:val="23592D87"/>
    <w:rsid w:val="235F162F"/>
    <w:rsid w:val="23615E8A"/>
    <w:rsid w:val="236538B9"/>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93672"/>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B65D3"/>
    <w:rsid w:val="254C4068"/>
    <w:rsid w:val="254E34FC"/>
    <w:rsid w:val="25515E07"/>
    <w:rsid w:val="25584ADE"/>
    <w:rsid w:val="255A3DDD"/>
    <w:rsid w:val="255E0BEA"/>
    <w:rsid w:val="25627A70"/>
    <w:rsid w:val="256343AC"/>
    <w:rsid w:val="25645072"/>
    <w:rsid w:val="256777BF"/>
    <w:rsid w:val="25700A2C"/>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17788"/>
    <w:rsid w:val="263E0775"/>
    <w:rsid w:val="2640682F"/>
    <w:rsid w:val="26472F6E"/>
    <w:rsid w:val="264F2FA3"/>
    <w:rsid w:val="26510DB8"/>
    <w:rsid w:val="26531A21"/>
    <w:rsid w:val="265559D0"/>
    <w:rsid w:val="265A4DDA"/>
    <w:rsid w:val="266239C5"/>
    <w:rsid w:val="26626905"/>
    <w:rsid w:val="26667EB2"/>
    <w:rsid w:val="266B1FB8"/>
    <w:rsid w:val="266D5571"/>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3E6346"/>
    <w:rsid w:val="27462901"/>
    <w:rsid w:val="274730E2"/>
    <w:rsid w:val="2749419F"/>
    <w:rsid w:val="274A7B1A"/>
    <w:rsid w:val="2750726F"/>
    <w:rsid w:val="275439E1"/>
    <w:rsid w:val="275658F1"/>
    <w:rsid w:val="276142AB"/>
    <w:rsid w:val="27621C7A"/>
    <w:rsid w:val="27625732"/>
    <w:rsid w:val="27631640"/>
    <w:rsid w:val="276320D7"/>
    <w:rsid w:val="276F3D3A"/>
    <w:rsid w:val="277025E4"/>
    <w:rsid w:val="27711B2C"/>
    <w:rsid w:val="27727EB7"/>
    <w:rsid w:val="27744B4E"/>
    <w:rsid w:val="277A5E6A"/>
    <w:rsid w:val="277E547B"/>
    <w:rsid w:val="277F3B02"/>
    <w:rsid w:val="278A6416"/>
    <w:rsid w:val="279408D2"/>
    <w:rsid w:val="27994F87"/>
    <w:rsid w:val="279A1B15"/>
    <w:rsid w:val="279A2ED3"/>
    <w:rsid w:val="279C73CC"/>
    <w:rsid w:val="27A23025"/>
    <w:rsid w:val="27A46397"/>
    <w:rsid w:val="27B02558"/>
    <w:rsid w:val="27B027C6"/>
    <w:rsid w:val="27B03EC1"/>
    <w:rsid w:val="27B91021"/>
    <w:rsid w:val="27BA3133"/>
    <w:rsid w:val="27C06D17"/>
    <w:rsid w:val="27C66099"/>
    <w:rsid w:val="27CA7CDA"/>
    <w:rsid w:val="27DD0335"/>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B01FC"/>
    <w:rsid w:val="284D7865"/>
    <w:rsid w:val="28506F1C"/>
    <w:rsid w:val="28511085"/>
    <w:rsid w:val="285465E8"/>
    <w:rsid w:val="28553E1D"/>
    <w:rsid w:val="2859475D"/>
    <w:rsid w:val="2866568E"/>
    <w:rsid w:val="28693318"/>
    <w:rsid w:val="286B3B61"/>
    <w:rsid w:val="286C6B63"/>
    <w:rsid w:val="286D43F4"/>
    <w:rsid w:val="286F5A89"/>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46C7B"/>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23CC4"/>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2F7769"/>
    <w:rsid w:val="2A374404"/>
    <w:rsid w:val="2A3B063B"/>
    <w:rsid w:val="2A3E15CC"/>
    <w:rsid w:val="2A49761F"/>
    <w:rsid w:val="2A4C74B8"/>
    <w:rsid w:val="2A4F133B"/>
    <w:rsid w:val="2A4F49D1"/>
    <w:rsid w:val="2A500712"/>
    <w:rsid w:val="2A515850"/>
    <w:rsid w:val="2A555ABC"/>
    <w:rsid w:val="2A5B21E2"/>
    <w:rsid w:val="2A5C5A20"/>
    <w:rsid w:val="2A600C13"/>
    <w:rsid w:val="2A60320F"/>
    <w:rsid w:val="2A627A42"/>
    <w:rsid w:val="2A630308"/>
    <w:rsid w:val="2A657762"/>
    <w:rsid w:val="2A676AD0"/>
    <w:rsid w:val="2A6808C0"/>
    <w:rsid w:val="2A687AA6"/>
    <w:rsid w:val="2A6A2073"/>
    <w:rsid w:val="2A7317FC"/>
    <w:rsid w:val="2A770CC7"/>
    <w:rsid w:val="2A7A022E"/>
    <w:rsid w:val="2A7B6C4A"/>
    <w:rsid w:val="2A8A27A6"/>
    <w:rsid w:val="2A8B1FCC"/>
    <w:rsid w:val="2A9303DF"/>
    <w:rsid w:val="2A9A66D4"/>
    <w:rsid w:val="2AA1007B"/>
    <w:rsid w:val="2AA12DD3"/>
    <w:rsid w:val="2AA20EED"/>
    <w:rsid w:val="2AA80CAF"/>
    <w:rsid w:val="2AAA0BE0"/>
    <w:rsid w:val="2AAA29AB"/>
    <w:rsid w:val="2AAA4B39"/>
    <w:rsid w:val="2AAB1744"/>
    <w:rsid w:val="2AAC36BD"/>
    <w:rsid w:val="2AB04937"/>
    <w:rsid w:val="2AB1542B"/>
    <w:rsid w:val="2AB86677"/>
    <w:rsid w:val="2ABA266F"/>
    <w:rsid w:val="2ABC2E55"/>
    <w:rsid w:val="2AC90132"/>
    <w:rsid w:val="2ACF5AEC"/>
    <w:rsid w:val="2AD043F8"/>
    <w:rsid w:val="2AD62AB0"/>
    <w:rsid w:val="2ADC1447"/>
    <w:rsid w:val="2ADE1583"/>
    <w:rsid w:val="2AE70523"/>
    <w:rsid w:val="2AE87E10"/>
    <w:rsid w:val="2AF12CDF"/>
    <w:rsid w:val="2AF27DCB"/>
    <w:rsid w:val="2AF92B4F"/>
    <w:rsid w:val="2AFC24E6"/>
    <w:rsid w:val="2B04686A"/>
    <w:rsid w:val="2B0726A6"/>
    <w:rsid w:val="2B090320"/>
    <w:rsid w:val="2B0C6B23"/>
    <w:rsid w:val="2B0F7144"/>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501F0"/>
    <w:rsid w:val="2B592A46"/>
    <w:rsid w:val="2B5B7165"/>
    <w:rsid w:val="2B611B55"/>
    <w:rsid w:val="2B662258"/>
    <w:rsid w:val="2B686C09"/>
    <w:rsid w:val="2B795BD8"/>
    <w:rsid w:val="2B8311DA"/>
    <w:rsid w:val="2B8759DF"/>
    <w:rsid w:val="2B8B34AB"/>
    <w:rsid w:val="2B914C5E"/>
    <w:rsid w:val="2B976D02"/>
    <w:rsid w:val="2BA252E6"/>
    <w:rsid w:val="2BA53554"/>
    <w:rsid w:val="2BA71211"/>
    <w:rsid w:val="2BAC4FE7"/>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C1C1D"/>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663CB"/>
    <w:rsid w:val="2C8B0557"/>
    <w:rsid w:val="2C982697"/>
    <w:rsid w:val="2C9A28D3"/>
    <w:rsid w:val="2C9F1C78"/>
    <w:rsid w:val="2CBC4209"/>
    <w:rsid w:val="2CC12D54"/>
    <w:rsid w:val="2CC73C6F"/>
    <w:rsid w:val="2CC9742A"/>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82EE4"/>
    <w:rsid w:val="2D590555"/>
    <w:rsid w:val="2D621C05"/>
    <w:rsid w:val="2D6F22A9"/>
    <w:rsid w:val="2D726428"/>
    <w:rsid w:val="2D770975"/>
    <w:rsid w:val="2D7A06F1"/>
    <w:rsid w:val="2D8151A4"/>
    <w:rsid w:val="2D894942"/>
    <w:rsid w:val="2DA02E9C"/>
    <w:rsid w:val="2DAC4521"/>
    <w:rsid w:val="2DAE30C2"/>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31733"/>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5C4E"/>
    <w:rsid w:val="2EA26ABE"/>
    <w:rsid w:val="2EA72F10"/>
    <w:rsid w:val="2EA74B75"/>
    <w:rsid w:val="2EB61295"/>
    <w:rsid w:val="2EB639A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A48B6"/>
    <w:rsid w:val="2F2F3D52"/>
    <w:rsid w:val="2F3B7B8B"/>
    <w:rsid w:val="2F3D481A"/>
    <w:rsid w:val="2F407763"/>
    <w:rsid w:val="2F417C99"/>
    <w:rsid w:val="2F44254B"/>
    <w:rsid w:val="2F4530B9"/>
    <w:rsid w:val="2F47449B"/>
    <w:rsid w:val="2F4B7821"/>
    <w:rsid w:val="2F4D774F"/>
    <w:rsid w:val="2F4F73A3"/>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9E6C05"/>
    <w:rsid w:val="2FA12C61"/>
    <w:rsid w:val="2FA21231"/>
    <w:rsid w:val="2FAD4759"/>
    <w:rsid w:val="2FAD5866"/>
    <w:rsid w:val="2FAE1EFC"/>
    <w:rsid w:val="2FAF4472"/>
    <w:rsid w:val="2FB4059E"/>
    <w:rsid w:val="2FB46FC7"/>
    <w:rsid w:val="2FB91323"/>
    <w:rsid w:val="2FBF3258"/>
    <w:rsid w:val="2FC6643E"/>
    <w:rsid w:val="2FC73060"/>
    <w:rsid w:val="2FCA0967"/>
    <w:rsid w:val="2FCE6A6F"/>
    <w:rsid w:val="2FD136DA"/>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936DD"/>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D2D5F"/>
    <w:rsid w:val="304F02D9"/>
    <w:rsid w:val="30500A5C"/>
    <w:rsid w:val="305447A9"/>
    <w:rsid w:val="305F558E"/>
    <w:rsid w:val="306B4848"/>
    <w:rsid w:val="30752E77"/>
    <w:rsid w:val="308018A6"/>
    <w:rsid w:val="30804E19"/>
    <w:rsid w:val="30836316"/>
    <w:rsid w:val="308A74F0"/>
    <w:rsid w:val="3090288F"/>
    <w:rsid w:val="30921E98"/>
    <w:rsid w:val="30980DA8"/>
    <w:rsid w:val="309B0CFB"/>
    <w:rsid w:val="309B2EEC"/>
    <w:rsid w:val="309E4272"/>
    <w:rsid w:val="30AE56DC"/>
    <w:rsid w:val="30B7307E"/>
    <w:rsid w:val="30BB5407"/>
    <w:rsid w:val="30BF034E"/>
    <w:rsid w:val="30C21A0E"/>
    <w:rsid w:val="30CC6F9C"/>
    <w:rsid w:val="30DC45E8"/>
    <w:rsid w:val="30DC73BC"/>
    <w:rsid w:val="30DD6027"/>
    <w:rsid w:val="30DE16AB"/>
    <w:rsid w:val="30E1221A"/>
    <w:rsid w:val="30E734EF"/>
    <w:rsid w:val="30EB4922"/>
    <w:rsid w:val="30F24AB3"/>
    <w:rsid w:val="30F355A2"/>
    <w:rsid w:val="30F44A95"/>
    <w:rsid w:val="30F779C8"/>
    <w:rsid w:val="30F77A98"/>
    <w:rsid w:val="30FA21D8"/>
    <w:rsid w:val="30FC2A23"/>
    <w:rsid w:val="31154308"/>
    <w:rsid w:val="31197ABC"/>
    <w:rsid w:val="311A3CEA"/>
    <w:rsid w:val="311D5B14"/>
    <w:rsid w:val="311F25AE"/>
    <w:rsid w:val="312372B4"/>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057DE"/>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64168"/>
    <w:rsid w:val="319B3834"/>
    <w:rsid w:val="319D6381"/>
    <w:rsid w:val="31A53A0B"/>
    <w:rsid w:val="31A7307B"/>
    <w:rsid w:val="31A94576"/>
    <w:rsid w:val="31AC04E5"/>
    <w:rsid w:val="31AC2EA3"/>
    <w:rsid w:val="31B23BA8"/>
    <w:rsid w:val="31BC1E1D"/>
    <w:rsid w:val="31C34909"/>
    <w:rsid w:val="31C363A1"/>
    <w:rsid w:val="31C51E2E"/>
    <w:rsid w:val="31CA5CF8"/>
    <w:rsid w:val="31CB26CD"/>
    <w:rsid w:val="31CF2CD1"/>
    <w:rsid w:val="31D06A52"/>
    <w:rsid w:val="31D216CC"/>
    <w:rsid w:val="31D7121A"/>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1187"/>
    <w:rsid w:val="32926F1E"/>
    <w:rsid w:val="32946A84"/>
    <w:rsid w:val="329747D6"/>
    <w:rsid w:val="329927A4"/>
    <w:rsid w:val="329B3044"/>
    <w:rsid w:val="32AC6196"/>
    <w:rsid w:val="32AF5A06"/>
    <w:rsid w:val="32B22C9D"/>
    <w:rsid w:val="32BA631C"/>
    <w:rsid w:val="32BC6631"/>
    <w:rsid w:val="32C05B65"/>
    <w:rsid w:val="32C60D14"/>
    <w:rsid w:val="32C6418D"/>
    <w:rsid w:val="32CF3588"/>
    <w:rsid w:val="32D14A7F"/>
    <w:rsid w:val="32D26AE6"/>
    <w:rsid w:val="32D733FA"/>
    <w:rsid w:val="32DE353D"/>
    <w:rsid w:val="32E148E8"/>
    <w:rsid w:val="32E343F6"/>
    <w:rsid w:val="32E921F0"/>
    <w:rsid w:val="32F76D5D"/>
    <w:rsid w:val="32F825DE"/>
    <w:rsid w:val="32F86450"/>
    <w:rsid w:val="32FC02DA"/>
    <w:rsid w:val="330066D7"/>
    <w:rsid w:val="330244A4"/>
    <w:rsid w:val="3304026E"/>
    <w:rsid w:val="33066388"/>
    <w:rsid w:val="330F1E44"/>
    <w:rsid w:val="331747E7"/>
    <w:rsid w:val="331B37C6"/>
    <w:rsid w:val="331C390F"/>
    <w:rsid w:val="33222F7E"/>
    <w:rsid w:val="33231C09"/>
    <w:rsid w:val="332D624D"/>
    <w:rsid w:val="332F4289"/>
    <w:rsid w:val="333A0536"/>
    <w:rsid w:val="333E0FE1"/>
    <w:rsid w:val="333F0B89"/>
    <w:rsid w:val="333F4C47"/>
    <w:rsid w:val="333F6941"/>
    <w:rsid w:val="33444CAD"/>
    <w:rsid w:val="334D7767"/>
    <w:rsid w:val="335C246D"/>
    <w:rsid w:val="33610DDA"/>
    <w:rsid w:val="3362171F"/>
    <w:rsid w:val="3366319E"/>
    <w:rsid w:val="336A11D9"/>
    <w:rsid w:val="336C2B69"/>
    <w:rsid w:val="336F5120"/>
    <w:rsid w:val="337009B5"/>
    <w:rsid w:val="33724973"/>
    <w:rsid w:val="337333AD"/>
    <w:rsid w:val="33767D1F"/>
    <w:rsid w:val="337F446B"/>
    <w:rsid w:val="338D4CD1"/>
    <w:rsid w:val="338E29B0"/>
    <w:rsid w:val="338F74B8"/>
    <w:rsid w:val="3390342D"/>
    <w:rsid w:val="33907648"/>
    <w:rsid w:val="33924A39"/>
    <w:rsid w:val="3397281E"/>
    <w:rsid w:val="33985F59"/>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D7AA1"/>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0929"/>
    <w:rsid w:val="342D3CE2"/>
    <w:rsid w:val="34333AFC"/>
    <w:rsid w:val="34343D6C"/>
    <w:rsid w:val="34347DC5"/>
    <w:rsid w:val="34380493"/>
    <w:rsid w:val="34463967"/>
    <w:rsid w:val="344C08D2"/>
    <w:rsid w:val="345543D1"/>
    <w:rsid w:val="34564E8B"/>
    <w:rsid w:val="345A1F55"/>
    <w:rsid w:val="345A23D1"/>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AB408B"/>
    <w:rsid w:val="34B51A96"/>
    <w:rsid w:val="34BF1CD4"/>
    <w:rsid w:val="34C800BD"/>
    <w:rsid w:val="34C936CD"/>
    <w:rsid w:val="34CC1DC7"/>
    <w:rsid w:val="34D47C8A"/>
    <w:rsid w:val="34D874E5"/>
    <w:rsid w:val="34DB0CAC"/>
    <w:rsid w:val="34DD3DF9"/>
    <w:rsid w:val="34E972FC"/>
    <w:rsid w:val="34F43ADA"/>
    <w:rsid w:val="34F83EF3"/>
    <w:rsid w:val="34F953E0"/>
    <w:rsid w:val="34FB3AF7"/>
    <w:rsid w:val="34FF2166"/>
    <w:rsid w:val="3503286C"/>
    <w:rsid w:val="35075681"/>
    <w:rsid w:val="350A773D"/>
    <w:rsid w:val="350B4102"/>
    <w:rsid w:val="350B69C5"/>
    <w:rsid w:val="350F2D16"/>
    <w:rsid w:val="351C075B"/>
    <w:rsid w:val="351E33A2"/>
    <w:rsid w:val="35200E70"/>
    <w:rsid w:val="352147D7"/>
    <w:rsid w:val="35233F18"/>
    <w:rsid w:val="352349AE"/>
    <w:rsid w:val="3524348B"/>
    <w:rsid w:val="3525563E"/>
    <w:rsid w:val="35295D65"/>
    <w:rsid w:val="352B5169"/>
    <w:rsid w:val="353230EA"/>
    <w:rsid w:val="35333FF2"/>
    <w:rsid w:val="353834AB"/>
    <w:rsid w:val="3539596F"/>
    <w:rsid w:val="35397499"/>
    <w:rsid w:val="353C4905"/>
    <w:rsid w:val="353C75ED"/>
    <w:rsid w:val="353E791E"/>
    <w:rsid w:val="354008AB"/>
    <w:rsid w:val="354966A2"/>
    <w:rsid w:val="354C4A97"/>
    <w:rsid w:val="354C7B38"/>
    <w:rsid w:val="354F28B8"/>
    <w:rsid w:val="35502300"/>
    <w:rsid w:val="35535CBB"/>
    <w:rsid w:val="355578D9"/>
    <w:rsid w:val="35561714"/>
    <w:rsid w:val="35562F9E"/>
    <w:rsid w:val="35581BA8"/>
    <w:rsid w:val="355B280E"/>
    <w:rsid w:val="355B3BD4"/>
    <w:rsid w:val="355B61CB"/>
    <w:rsid w:val="355D687A"/>
    <w:rsid w:val="355F07C4"/>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9F2181"/>
    <w:rsid w:val="35A02A2E"/>
    <w:rsid w:val="35A0338E"/>
    <w:rsid w:val="35A16611"/>
    <w:rsid w:val="35A31A0A"/>
    <w:rsid w:val="35A57D9C"/>
    <w:rsid w:val="35A974EC"/>
    <w:rsid w:val="35AB5D7D"/>
    <w:rsid w:val="35AF7379"/>
    <w:rsid w:val="35B31B82"/>
    <w:rsid w:val="35B37FDC"/>
    <w:rsid w:val="35B900B0"/>
    <w:rsid w:val="35C154C0"/>
    <w:rsid w:val="35C7584B"/>
    <w:rsid w:val="35CE15D7"/>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3FC6"/>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C0A"/>
    <w:rsid w:val="36642D30"/>
    <w:rsid w:val="36693B36"/>
    <w:rsid w:val="366A0EF0"/>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6FA13B3"/>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64124"/>
    <w:rsid w:val="373757CA"/>
    <w:rsid w:val="373B5161"/>
    <w:rsid w:val="373D6F58"/>
    <w:rsid w:val="37446333"/>
    <w:rsid w:val="37446A77"/>
    <w:rsid w:val="374D0B20"/>
    <w:rsid w:val="37557969"/>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01304"/>
    <w:rsid w:val="38557E21"/>
    <w:rsid w:val="3856501D"/>
    <w:rsid w:val="38590DD6"/>
    <w:rsid w:val="385F47DB"/>
    <w:rsid w:val="38632B5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127B"/>
    <w:rsid w:val="38EC25F0"/>
    <w:rsid w:val="38EC260C"/>
    <w:rsid w:val="38EF0DB7"/>
    <w:rsid w:val="38F50C85"/>
    <w:rsid w:val="39065A02"/>
    <w:rsid w:val="390A7C62"/>
    <w:rsid w:val="39105718"/>
    <w:rsid w:val="39147611"/>
    <w:rsid w:val="392B6A4C"/>
    <w:rsid w:val="392D2312"/>
    <w:rsid w:val="393232FB"/>
    <w:rsid w:val="393544DD"/>
    <w:rsid w:val="393962EC"/>
    <w:rsid w:val="393F6CD7"/>
    <w:rsid w:val="394356FA"/>
    <w:rsid w:val="39457868"/>
    <w:rsid w:val="394620D9"/>
    <w:rsid w:val="39462EDC"/>
    <w:rsid w:val="394935B8"/>
    <w:rsid w:val="394C557A"/>
    <w:rsid w:val="3952190F"/>
    <w:rsid w:val="39541117"/>
    <w:rsid w:val="395753F2"/>
    <w:rsid w:val="395771BA"/>
    <w:rsid w:val="395811AF"/>
    <w:rsid w:val="395D360D"/>
    <w:rsid w:val="395E756B"/>
    <w:rsid w:val="39676A41"/>
    <w:rsid w:val="39686D44"/>
    <w:rsid w:val="39695DEF"/>
    <w:rsid w:val="3973175F"/>
    <w:rsid w:val="39762B94"/>
    <w:rsid w:val="397E700C"/>
    <w:rsid w:val="39834074"/>
    <w:rsid w:val="39885108"/>
    <w:rsid w:val="398A2308"/>
    <w:rsid w:val="39907940"/>
    <w:rsid w:val="3991086C"/>
    <w:rsid w:val="39933350"/>
    <w:rsid w:val="399602F5"/>
    <w:rsid w:val="39960D6E"/>
    <w:rsid w:val="399B5B0D"/>
    <w:rsid w:val="39A05979"/>
    <w:rsid w:val="39A90A0C"/>
    <w:rsid w:val="39A90F14"/>
    <w:rsid w:val="39AB5689"/>
    <w:rsid w:val="39AF077F"/>
    <w:rsid w:val="39B401D4"/>
    <w:rsid w:val="39B747A8"/>
    <w:rsid w:val="39BB78F7"/>
    <w:rsid w:val="39BC428E"/>
    <w:rsid w:val="39BD2FD7"/>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6739D"/>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AFD708A"/>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BFF607E"/>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5D1E98"/>
    <w:rsid w:val="3C5F3192"/>
    <w:rsid w:val="3C5F34EC"/>
    <w:rsid w:val="3C64689F"/>
    <w:rsid w:val="3C676A33"/>
    <w:rsid w:val="3C681A6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50EC3"/>
    <w:rsid w:val="3CB61240"/>
    <w:rsid w:val="3CBA6812"/>
    <w:rsid w:val="3CBA78F5"/>
    <w:rsid w:val="3CBD2183"/>
    <w:rsid w:val="3CBD5A0F"/>
    <w:rsid w:val="3CBF5299"/>
    <w:rsid w:val="3CBF7818"/>
    <w:rsid w:val="3CC26B63"/>
    <w:rsid w:val="3CC42B41"/>
    <w:rsid w:val="3CC71C25"/>
    <w:rsid w:val="3CCC4D4D"/>
    <w:rsid w:val="3CCD7DE2"/>
    <w:rsid w:val="3CCE0448"/>
    <w:rsid w:val="3CD6754E"/>
    <w:rsid w:val="3CD71E34"/>
    <w:rsid w:val="3CD93A3D"/>
    <w:rsid w:val="3CDB5D82"/>
    <w:rsid w:val="3CDE394C"/>
    <w:rsid w:val="3CE54B9F"/>
    <w:rsid w:val="3CE86761"/>
    <w:rsid w:val="3CEC51B9"/>
    <w:rsid w:val="3CF619DB"/>
    <w:rsid w:val="3CF86E9C"/>
    <w:rsid w:val="3CF87328"/>
    <w:rsid w:val="3CFD37E7"/>
    <w:rsid w:val="3CFE44BF"/>
    <w:rsid w:val="3D0065B1"/>
    <w:rsid w:val="3D01412D"/>
    <w:rsid w:val="3D035272"/>
    <w:rsid w:val="3D0B7E6F"/>
    <w:rsid w:val="3D0F1231"/>
    <w:rsid w:val="3D130342"/>
    <w:rsid w:val="3D163A6F"/>
    <w:rsid w:val="3D184661"/>
    <w:rsid w:val="3D1A30D4"/>
    <w:rsid w:val="3D200D7C"/>
    <w:rsid w:val="3D233D0C"/>
    <w:rsid w:val="3D272F24"/>
    <w:rsid w:val="3D2A76C4"/>
    <w:rsid w:val="3D2C61BC"/>
    <w:rsid w:val="3D2D3F04"/>
    <w:rsid w:val="3D2F4437"/>
    <w:rsid w:val="3D3075FB"/>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816B4"/>
    <w:rsid w:val="3D990197"/>
    <w:rsid w:val="3D9A0655"/>
    <w:rsid w:val="3D9D4DFB"/>
    <w:rsid w:val="3DA22306"/>
    <w:rsid w:val="3DA9667F"/>
    <w:rsid w:val="3DAA1B3A"/>
    <w:rsid w:val="3DB17297"/>
    <w:rsid w:val="3DBB6C89"/>
    <w:rsid w:val="3DC66FFF"/>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819A1"/>
    <w:rsid w:val="3E0918A5"/>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1F06C6"/>
    <w:rsid w:val="3F206E95"/>
    <w:rsid w:val="3F217DDA"/>
    <w:rsid w:val="3F2455B3"/>
    <w:rsid w:val="3F2B184D"/>
    <w:rsid w:val="3F2C36BA"/>
    <w:rsid w:val="3F2C7646"/>
    <w:rsid w:val="3F2F01F0"/>
    <w:rsid w:val="3F3A7EA2"/>
    <w:rsid w:val="3F3C6744"/>
    <w:rsid w:val="3F421D47"/>
    <w:rsid w:val="3F424BBB"/>
    <w:rsid w:val="3F441B08"/>
    <w:rsid w:val="3F4A4087"/>
    <w:rsid w:val="3F4F72FB"/>
    <w:rsid w:val="3F5361F5"/>
    <w:rsid w:val="3F555F0F"/>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77F5A"/>
    <w:rsid w:val="3FBA5EF6"/>
    <w:rsid w:val="3FBB4BEF"/>
    <w:rsid w:val="3FBE30B8"/>
    <w:rsid w:val="3FCF604C"/>
    <w:rsid w:val="3FD210AC"/>
    <w:rsid w:val="3FD3664E"/>
    <w:rsid w:val="3FD53CFE"/>
    <w:rsid w:val="3FD9316A"/>
    <w:rsid w:val="3FE1096B"/>
    <w:rsid w:val="3FE14454"/>
    <w:rsid w:val="3FE210C1"/>
    <w:rsid w:val="3FE417DA"/>
    <w:rsid w:val="3FE62200"/>
    <w:rsid w:val="3FEB1C22"/>
    <w:rsid w:val="3FED1519"/>
    <w:rsid w:val="3FEE2117"/>
    <w:rsid w:val="3FFA58A6"/>
    <w:rsid w:val="3FFA5C63"/>
    <w:rsid w:val="40073561"/>
    <w:rsid w:val="400819A7"/>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35C59"/>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56901"/>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4683"/>
    <w:rsid w:val="416C15E7"/>
    <w:rsid w:val="416E039C"/>
    <w:rsid w:val="416E1B43"/>
    <w:rsid w:val="417727AB"/>
    <w:rsid w:val="417F7393"/>
    <w:rsid w:val="41800377"/>
    <w:rsid w:val="41804025"/>
    <w:rsid w:val="41835B7D"/>
    <w:rsid w:val="418B26ED"/>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A257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5C3A54"/>
    <w:rsid w:val="42620D2C"/>
    <w:rsid w:val="42637522"/>
    <w:rsid w:val="4268449D"/>
    <w:rsid w:val="42697E79"/>
    <w:rsid w:val="426E536F"/>
    <w:rsid w:val="427034C5"/>
    <w:rsid w:val="42730E0D"/>
    <w:rsid w:val="427409B9"/>
    <w:rsid w:val="427F3C64"/>
    <w:rsid w:val="42831021"/>
    <w:rsid w:val="42863926"/>
    <w:rsid w:val="4287026E"/>
    <w:rsid w:val="42873CB7"/>
    <w:rsid w:val="428A607C"/>
    <w:rsid w:val="428A6976"/>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6F292D"/>
    <w:rsid w:val="437B4D47"/>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643C8"/>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A2DBE"/>
    <w:rsid w:val="444E22EA"/>
    <w:rsid w:val="44584267"/>
    <w:rsid w:val="445A2CF1"/>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EB1931"/>
    <w:rsid w:val="44F44FEB"/>
    <w:rsid w:val="44F82D0E"/>
    <w:rsid w:val="44FE2B1E"/>
    <w:rsid w:val="44FF7037"/>
    <w:rsid w:val="45004D64"/>
    <w:rsid w:val="450174D5"/>
    <w:rsid w:val="451C5E9C"/>
    <w:rsid w:val="45214561"/>
    <w:rsid w:val="452C5F0A"/>
    <w:rsid w:val="452E1CA0"/>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77C6C"/>
    <w:rsid w:val="45E826B2"/>
    <w:rsid w:val="45EE016D"/>
    <w:rsid w:val="45F25E25"/>
    <w:rsid w:val="45F4334C"/>
    <w:rsid w:val="460D3781"/>
    <w:rsid w:val="461B7F64"/>
    <w:rsid w:val="461F36FD"/>
    <w:rsid w:val="462C3A2D"/>
    <w:rsid w:val="462D4B2D"/>
    <w:rsid w:val="462E4FF5"/>
    <w:rsid w:val="46326F58"/>
    <w:rsid w:val="46352DA8"/>
    <w:rsid w:val="46365246"/>
    <w:rsid w:val="463E1C6A"/>
    <w:rsid w:val="46413001"/>
    <w:rsid w:val="46466453"/>
    <w:rsid w:val="464871AD"/>
    <w:rsid w:val="464937C4"/>
    <w:rsid w:val="464B3175"/>
    <w:rsid w:val="464E3AE9"/>
    <w:rsid w:val="46520770"/>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017ED"/>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0A9A"/>
    <w:rsid w:val="46EE5C1E"/>
    <w:rsid w:val="46EE73D1"/>
    <w:rsid w:val="46F37479"/>
    <w:rsid w:val="46F43423"/>
    <w:rsid w:val="46F95FEA"/>
    <w:rsid w:val="46FC2FE8"/>
    <w:rsid w:val="47033281"/>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972D2"/>
    <w:rsid w:val="47BC3466"/>
    <w:rsid w:val="47BF5FB3"/>
    <w:rsid w:val="47D730B6"/>
    <w:rsid w:val="47DD6490"/>
    <w:rsid w:val="47DD6A91"/>
    <w:rsid w:val="47E62C82"/>
    <w:rsid w:val="47E9396D"/>
    <w:rsid w:val="47EB0853"/>
    <w:rsid w:val="47EB5BFA"/>
    <w:rsid w:val="47F46D42"/>
    <w:rsid w:val="47FA20F9"/>
    <w:rsid w:val="47FF0D25"/>
    <w:rsid w:val="47FF3A74"/>
    <w:rsid w:val="48041F1C"/>
    <w:rsid w:val="480B1862"/>
    <w:rsid w:val="480B749D"/>
    <w:rsid w:val="480B7A59"/>
    <w:rsid w:val="48111DC2"/>
    <w:rsid w:val="48156BFB"/>
    <w:rsid w:val="481B5A1B"/>
    <w:rsid w:val="481E5F8D"/>
    <w:rsid w:val="48204877"/>
    <w:rsid w:val="482B39B5"/>
    <w:rsid w:val="482D350F"/>
    <w:rsid w:val="4835046F"/>
    <w:rsid w:val="483A4006"/>
    <w:rsid w:val="483B5BCA"/>
    <w:rsid w:val="483C2A8C"/>
    <w:rsid w:val="483F5850"/>
    <w:rsid w:val="48424FA1"/>
    <w:rsid w:val="484647AE"/>
    <w:rsid w:val="48481010"/>
    <w:rsid w:val="484F1901"/>
    <w:rsid w:val="485111C8"/>
    <w:rsid w:val="485216B9"/>
    <w:rsid w:val="485435DD"/>
    <w:rsid w:val="48594C05"/>
    <w:rsid w:val="485D5413"/>
    <w:rsid w:val="485D58DA"/>
    <w:rsid w:val="485F3492"/>
    <w:rsid w:val="4864535D"/>
    <w:rsid w:val="4865157E"/>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55470"/>
    <w:rsid w:val="48A76BEF"/>
    <w:rsid w:val="48A94193"/>
    <w:rsid w:val="48AB58AD"/>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33AE1"/>
    <w:rsid w:val="48EA0E66"/>
    <w:rsid w:val="48F0011A"/>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46523"/>
    <w:rsid w:val="49BA6924"/>
    <w:rsid w:val="49C20C6C"/>
    <w:rsid w:val="49CE0C89"/>
    <w:rsid w:val="49D93C20"/>
    <w:rsid w:val="49DA3FD3"/>
    <w:rsid w:val="49DA7AB7"/>
    <w:rsid w:val="49E028D9"/>
    <w:rsid w:val="49E353F8"/>
    <w:rsid w:val="49E46DD1"/>
    <w:rsid w:val="49E95933"/>
    <w:rsid w:val="49EF7DBB"/>
    <w:rsid w:val="49F12E67"/>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071E3"/>
    <w:rsid w:val="4AD162A8"/>
    <w:rsid w:val="4AD25C89"/>
    <w:rsid w:val="4AD768C6"/>
    <w:rsid w:val="4AE0796F"/>
    <w:rsid w:val="4AE30444"/>
    <w:rsid w:val="4AE31B85"/>
    <w:rsid w:val="4AEF0F11"/>
    <w:rsid w:val="4AF902F5"/>
    <w:rsid w:val="4AF94D42"/>
    <w:rsid w:val="4AFF49AD"/>
    <w:rsid w:val="4B0107DC"/>
    <w:rsid w:val="4B020D4E"/>
    <w:rsid w:val="4B021266"/>
    <w:rsid w:val="4B081F1A"/>
    <w:rsid w:val="4B0A119A"/>
    <w:rsid w:val="4B0D6C0E"/>
    <w:rsid w:val="4B0F3062"/>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901807"/>
    <w:rsid w:val="4B9B25E4"/>
    <w:rsid w:val="4B9E314D"/>
    <w:rsid w:val="4BA42975"/>
    <w:rsid w:val="4BAC4DC9"/>
    <w:rsid w:val="4BAD4CA2"/>
    <w:rsid w:val="4BB42604"/>
    <w:rsid w:val="4BB548C0"/>
    <w:rsid w:val="4BB5799E"/>
    <w:rsid w:val="4BC456EF"/>
    <w:rsid w:val="4BC647B0"/>
    <w:rsid w:val="4BCB1BAE"/>
    <w:rsid w:val="4BD94F2A"/>
    <w:rsid w:val="4BDF4B49"/>
    <w:rsid w:val="4BE57E16"/>
    <w:rsid w:val="4BE819D0"/>
    <w:rsid w:val="4BE8649D"/>
    <w:rsid w:val="4BF86C03"/>
    <w:rsid w:val="4BFC6FFD"/>
    <w:rsid w:val="4C001A94"/>
    <w:rsid w:val="4C0107B1"/>
    <w:rsid w:val="4C012240"/>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33DF0"/>
    <w:rsid w:val="4C9538F4"/>
    <w:rsid w:val="4C974009"/>
    <w:rsid w:val="4C987412"/>
    <w:rsid w:val="4C9C23CF"/>
    <w:rsid w:val="4CA6111C"/>
    <w:rsid w:val="4CA70172"/>
    <w:rsid w:val="4CA867B8"/>
    <w:rsid w:val="4CB3742C"/>
    <w:rsid w:val="4CB50036"/>
    <w:rsid w:val="4CB63E1D"/>
    <w:rsid w:val="4CBB546E"/>
    <w:rsid w:val="4CBD165D"/>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A6659"/>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551492"/>
    <w:rsid w:val="4D5646C6"/>
    <w:rsid w:val="4D570519"/>
    <w:rsid w:val="4D5A2B9C"/>
    <w:rsid w:val="4D5C5732"/>
    <w:rsid w:val="4D5F70A0"/>
    <w:rsid w:val="4D601BF0"/>
    <w:rsid w:val="4D656800"/>
    <w:rsid w:val="4D6C4B60"/>
    <w:rsid w:val="4D6D0CFF"/>
    <w:rsid w:val="4D705706"/>
    <w:rsid w:val="4D7220A0"/>
    <w:rsid w:val="4D722EC4"/>
    <w:rsid w:val="4D76173E"/>
    <w:rsid w:val="4D795468"/>
    <w:rsid w:val="4D8814DC"/>
    <w:rsid w:val="4D8A58C0"/>
    <w:rsid w:val="4D8D11C1"/>
    <w:rsid w:val="4D8E6ECD"/>
    <w:rsid w:val="4D922BF5"/>
    <w:rsid w:val="4D986B63"/>
    <w:rsid w:val="4D9B5A29"/>
    <w:rsid w:val="4DA53BC8"/>
    <w:rsid w:val="4DA72415"/>
    <w:rsid w:val="4DB056F4"/>
    <w:rsid w:val="4DB41824"/>
    <w:rsid w:val="4DB95A69"/>
    <w:rsid w:val="4DBD1F3A"/>
    <w:rsid w:val="4DBD526D"/>
    <w:rsid w:val="4DC31B92"/>
    <w:rsid w:val="4DC43B24"/>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0A4825"/>
    <w:rsid w:val="4E1561BE"/>
    <w:rsid w:val="4E176DF3"/>
    <w:rsid w:val="4E1A2F68"/>
    <w:rsid w:val="4E1D5D1D"/>
    <w:rsid w:val="4E1E7D0E"/>
    <w:rsid w:val="4E210A5C"/>
    <w:rsid w:val="4E2C6A36"/>
    <w:rsid w:val="4E342F40"/>
    <w:rsid w:val="4E3A2C21"/>
    <w:rsid w:val="4E412A4D"/>
    <w:rsid w:val="4E4475F5"/>
    <w:rsid w:val="4E532F1C"/>
    <w:rsid w:val="4E584DB1"/>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6E34"/>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06B2E"/>
    <w:rsid w:val="4F532EB7"/>
    <w:rsid w:val="4F560A53"/>
    <w:rsid w:val="4F5A53CC"/>
    <w:rsid w:val="4F601B37"/>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43616"/>
    <w:rsid w:val="4FBA52BE"/>
    <w:rsid w:val="4FBA74EE"/>
    <w:rsid w:val="4FBB5569"/>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94A43"/>
    <w:rsid w:val="503D2073"/>
    <w:rsid w:val="503D5373"/>
    <w:rsid w:val="503E4F3A"/>
    <w:rsid w:val="50412F77"/>
    <w:rsid w:val="504261AC"/>
    <w:rsid w:val="504311C0"/>
    <w:rsid w:val="50435189"/>
    <w:rsid w:val="50461396"/>
    <w:rsid w:val="504B1149"/>
    <w:rsid w:val="504B5456"/>
    <w:rsid w:val="5052029B"/>
    <w:rsid w:val="505F1426"/>
    <w:rsid w:val="506309DB"/>
    <w:rsid w:val="50701792"/>
    <w:rsid w:val="50752AF6"/>
    <w:rsid w:val="50771C00"/>
    <w:rsid w:val="508006BF"/>
    <w:rsid w:val="508A668E"/>
    <w:rsid w:val="509A3231"/>
    <w:rsid w:val="509C736A"/>
    <w:rsid w:val="50A27585"/>
    <w:rsid w:val="50A866F2"/>
    <w:rsid w:val="50AA19C3"/>
    <w:rsid w:val="50AC0B91"/>
    <w:rsid w:val="50AF1C59"/>
    <w:rsid w:val="50B139BD"/>
    <w:rsid w:val="50B92297"/>
    <w:rsid w:val="50BA6EE5"/>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B52BE"/>
    <w:rsid w:val="51AD6F40"/>
    <w:rsid w:val="51AE5103"/>
    <w:rsid w:val="51BE2EAE"/>
    <w:rsid w:val="51C0716E"/>
    <w:rsid w:val="51C24631"/>
    <w:rsid w:val="51D42177"/>
    <w:rsid w:val="51D43598"/>
    <w:rsid w:val="51DA51E8"/>
    <w:rsid w:val="51DA5890"/>
    <w:rsid w:val="51E06C2C"/>
    <w:rsid w:val="51E31C77"/>
    <w:rsid w:val="51E90CD5"/>
    <w:rsid w:val="51EE7B3E"/>
    <w:rsid w:val="51F51BD1"/>
    <w:rsid w:val="51F62D3E"/>
    <w:rsid w:val="51F96848"/>
    <w:rsid w:val="51FA409C"/>
    <w:rsid w:val="51FB40B5"/>
    <w:rsid w:val="51FC4FF6"/>
    <w:rsid w:val="52063C95"/>
    <w:rsid w:val="52073487"/>
    <w:rsid w:val="520A7B89"/>
    <w:rsid w:val="520E648E"/>
    <w:rsid w:val="520F50CF"/>
    <w:rsid w:val="521C5D43"/>
    <w:rsid w:val="521D7ED7"/>
    <w:rsid w:val="52216835"/>
    <w:rsid w:val="52233879"/>
    <w:rsid w:val="52257DA4"/>
    <w:rsid w:val="523133D8"/>
    <w:rsid w:val="52325EE7"/>
    <w:rsid w:val="5239194F"/>
    <w:rsid w:val="52446D37"/>
    <w:rsid w:val="524D342E"/>
    <w:rsid w:val="524E54BD"/>
    <w:rsid w:val="5257696B"/>
    <w:rsid w:val="525D4BC4"/>
    <w:rsid w:val="52612620"/>
    <w:rsid w:val="526325FA"/>
    <w:rsid w:val="526478E1"/>
    <w:rsid w:val="526A1A2F"/>
    <w:rsid w:val="526A546C"/>
    <w:rsid w:val="52790FD9"/>
    <w:rsid w:val="528470BC"/>
    <w:rsid w:val="52887A7D"/>
    <w:rsid w:val="52894DE6"/>
    <w:rsid w:val="528C5E23"/>
    <w:rsid w:val="528D1034"/>
    <w:rsid w:val="52993DA6"/>
    <w:rsid w:val="529B5EE8"/>
    <w:rsid w:val="529F0D9B"/>
    <w:rsid w:val="52B509B8"/>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17CC2"/>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818A7"/>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36CC8"/>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40D75"/>
    <w:rsid w:val="54757648"/>
    <w:rsid w:val="5478695B"/>
    <w:rsid w:val="54860559"/>
    <w:rsid w:val="54874B3C"/>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45E87"/>
    <w:rsid w:val="550E6C32"/>
    <w:rsid w:val="551C2E90"/>
    <w:rsid w:val="552D2D4B"/>
    <w:rsid w:val="552D52C7"/>
    <w:rsid w:val="553343DC"/>
    <w:rsid w:val="55397CF2"/>
    <w:rsid w:val="5546565D"/>
    <w:rsid w:val="554E0863"/>
    <w:rsid w:val="555666A9"/>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03E30"/>
    <w:rsid w:val="55A47B02"/>
    <w:rsid w:val="55A578C3"/>
    <w:rsid w:val="55A63100"/>
    <w:rsid w:val="55AB1B1D"/>
    <w:rsid w:val="55B07143"/>
    <w:rsid w:val="55B07AA1"/>
    <w:rsid w:val="55B403DD"/>
    <w:rsid w:val="55B50135"/>
    <w:rsid w:val="55B511EE"/>
    <w:rsid w:val="55B65CF8"/>
    <w:rsid w:val="55C0140E"/>
    <w:rsid w:val="55C07EE4"/>
    <w:rsid w:val="55C305A6"/>
    <w:rsid w:val="55C51E8F"/>
    <w:rsid w:val="55C529C2"/>
    <w:rsid w:val="55CB6607"/>
    <w:rsid w:val="55CC27C2"/>
    <w:rsid w:val="55CC4541"/>
    <w:rsid w:val="55CF48E7"/>
    <w:rsid w:val="55D0342A"/>
    <w:rsid w:val="55D3385E"/>
    <w:rsid w:val="55D50C9C"/>
    <w:rsid w:val="55D849A1"/>
    <w:rsid w:val="55E31A15"/>
    <w:rsid w:val="55E5367A"/>
    <w:rsid w:val="55E83D2F"/>
    <w:rsid w:val="55EF1522"/>
    <w:rsid w:val="55F04DC9"/>
    <w:rsid w:val="55F37542"/>
    <w:rsid w:val="55FE6BCF"/>
    <w:rsid w:val="56017EDE"/>
    <w:rsid w:val="56027E43"/>
    <w:rsid w:val="56030BD3"/>
    <w:rsid w:val="560469FC"/>
    <w:rsid w:val="5609174E"/>
    <w:rsid w:val="561036D3"/>
    <w:rsid w:val="561B57AD"/>
    <w:rsid w:val="5621112A"/>
    <w:rsid w:val="56214A7B"/>
    <w:rsid w:val="562E1F90"/>
    <w:rsid w:val="562F7AA7"/>
    <w:rsid w:val="56331696"/>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96495C"/>
    <w:rsid w:val="56A032E3"/>
    <w:rsid w:val="56A04928"/>
    <w:rsid w:val="56A418DC"/>
    <w:rsid w:val="56A50EBB"/>
    <w:rsid w:val="56A83AE3"/>
    <w:rsid w:val="56AB6535"/>
    <w:rsid w:val="56AD02E2"/>
    <w:rsid w:val="56AD339E"/>
    <w:rsid w:val="56AE2AEE"/>
    <w:rsid w:val="56B0619F"/>
    <w:rsid w:val="56B16CBD"/>
    <w:rsid w:val="56B31EAE"/>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93368"/>
    <w:rsid w:val="56FB0134"/>
    <w:rsid w:val="56FC2728"/>
    <w:rsid w:val="57012351"/>
    <w:rsid w:val="57095761"/>
    <w:rsid w:val="571777C3"/>
    <w:rsid w:val="571B1F7E"/>
    <w:rsid w:val="571D34AC"/>
    <w:rsid w:val="571F270E"/>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57EEE"/>
    <w:rsid w:val="57B6547E"/>
    <w:rsid w:val="57BC7C9C"/>
    <w:rsid w:val="57BE4E98"/>
    <w:rsid w:val="57BF6387"/>
    <w:rsid w:val="57C77A65"/>
    <w:rsid w:val="57D01AAC"/>
    <w:rsid w:val="57D1117F"/>
    <w:rsid w:val="57D905DB"/>
    <w:rsid w:val="57DA0D38"/>
    <w:rsid w:val="57DD4E33"/>
    <w:rsid w:val="57DE0A52"/>
    <w:rsid w:val="57DF6500"/>
    <w:rsid w:val="57E143B6"/>
    <w:rsid w:val="57E60B9B"/>
    <w:rsid w:val="57E73B61"/>
    <w:rsid w:val="57F01737"/>
    <w:rsid w:val="57F108B7"/>
    <w:rsid w:val="57F316B2"/>
    <w:rsid w:val="57F73696"/>
    <w:rsid w:val="57FA3FC4"/>
    <w:rsid w:val="58005923"/>
    <w:rsid w:val="5803475B"/>
    <w:rsid w:val="580A6FBE"/>
    <w:rsid w:val="580F0825"/>
    <w:rsid w:val="580F5BC1"/>
    <w:rsid w:val="5814249E"/>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064AB"/>
    <w:rsid w:val="58C3426C"/>
    <w:rsid w:val="58C47A68"/>
    <w:rsid w:val="58C6178A"/>
    <w:rsid w:val="58C77385"/>
    <w:rsid w:val="58D720A4"/>
    <w:rsid w:val="58DB456A"/>
    <w:rsid w:val="58E56245"/>
    <w:rsid w:val="58E909DD"/>
    <w:rsid w:val="58EB1C90"/>
    <w:rsid w:val="58EE536D"/>
    <w:rsid w:val="58F57D12"/>
    <w:rsid w:val="59094784"/>
    <w:rsid w:val="59207439"/>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5DF"/>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57977"/>
    <w:rsid w:val="5A860499"/>
    <w:rsid w:val="5A8F76C1"/>
    <w:rsid w:val="5A910CA3"/>
    <w:rsid w:val="5A921A04"/>
    <w:rsid w:val="5A927DF9"/>
    <w:rsid w:val="5A9546AA"/>
    <w:rsid w:val="5A99558C"/>
    <w:rsid w:val="5A9A0A66"/>
    <w:rsid w:val="5AA227E4"/>
    <w:rsid w:val="5AA541CF"/>
    <w:rsid w:val="5AAD4690"/>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E2519"/>
    <w:rsid w:val="5B1F6C69"/>
    <w:rsid w:val="5B225A79"/>
    <w:rsid w:val="5B2445B5"/>
    <w:rsid w:val="5B2559CC"/>
    <w:rsid w:val="5B2A41C4"/>
    <w:rsid w:val="5B2B5E52"/>
    <w:rsid w:val="5B3E0A56"/>
    <w:rsid w:val="5B431363"/>
    <w:rsid w:val="5B470773"/>
    <w:rsid w:val="5B492D29"/>
    <w:rsid w:val="5B494C21"/>
    <w:rsid w:val="5B4C3725"/>
    <w:rsid w:val="5B532679"/>
    <w:rsid w:val="5B570BDE"/>
    <w:rsid w:val="5B59179A"/>
    <w:rsid w:val="5B5B64C5"/>
    <w:rsid w:val="5B5E47F5"/>
    <w:rsid w:val="5B5F2FE4"/>
    <w:rsid w:val="5B6207A7"/>
    <w:rsid w:val="5B627DC7"/>
    <w:rsid w:val="5B63287C"/>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25D03"/>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63FA3"/>
    <w:rsid w:val="5C1832F4"/>
    <w:rsid w:val="5C185468"/>
    <w:rsid w:val="5C1A3044"/>
    <w:rsid w:val="5C1D0C0F"/>
    <w:rsid w:val="5C211BAA"/>
    <w:rsid w:val="5C2218F7"/>
    <w:rsid w:val="5C236A39"/>
    <w:rsid w:val="5C3A291C"/>
    <w:rsid w:val="5C3B2DCF"/>
    <w:rsid w:val="5C474C2E"/>
    <w:rsid w:val="5C494C6D"/>
    <w:rsid w:val="5C500AF8"/>
    <w:rsid w:val="5C517866"/>
    <w:rsid w:val="5C523483"/>
    <w:rsid w:val="5C5348B4"/>
    <w:rsid w:val="5C5E033F"/>
    <w:rsid w:val="5C674D69"/>
    <w:rsid w:val="5C6875EE"/>
    <w:rsid w:val="5C6B21CA"/>
    <w:rsid w:val="5C6F12DC"/>
    <w:rsid w:val="5C7A2919"/>
    <w:rsid w:val="5C82695D"/>
    <w:rsid w:val="5C84202F"/>
    <w:rsid w:val="5C882B12"/>
    <w:rsid w:val="5C8F19C2"/>
    <w:rsid w:val="5C9A6016"/>
    <w:rsid w:val="5CA57043"/>
    <w:rsid w:val="5CAF56E0"/>
    <w:rsid w:val="5CB157B0"/>
    <w:rsid w:val="5CBF4297"/>
    <w:rsid w:val="5CC43404"/>
    <w:rsid w:val="5CC93DAE"/>
    <w:rsid w:val="5CCD7254"/>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035E3"/>
    <w:rsid w:val="5D315CEB"/>
    <w:rsid w:val="5D326462"/>
    <w:rsid w:val="5D3603BD"/>
    <w:rsid w:val="5D3926A3"/>
    <w:rsid w:val="5D3B59DF"/>
    <w:rsid w:val="5D3C59F3"/>
    <w:rsid w:val="5D473075"/>
    <w:rsid w:val="5D475E41"/>
    <w:rsid w:val="5D4822EE"/>
    <w:rsid w:val="5D4C5595"/>
    <w:rsid w:val="5D5035DA"/>
    <w:rsid w:val="5D5864DB"/>
    <w:rsid w:val="5D6B1052"/>
    <w:rsid w:val="5D6F03C1"/>
    <w:rsid w:val="5D702EEF"/>
    <w:rsid w:val="5D73393B"/>
    <w:rsid w:val="5D76353B"/>
    <w:rsid w:val="5D77731A"/>
    <w:rsid w:val="5D784379"/>
    <w:rsid w:val="5D7B3457"/>
    <w:rsid w:val="5D820C77"/>
    <w:rsid w:val="5D826C13"/>
    <w:rsid w:val="5D8428C5"/>
    <w:rsid w:val="5D846911"/>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01F61"/>
    <w:rsid w:val="5DD70750"/>
    <w:rsid w:val="5DE44DF4"/>
    <w:rsid w:val="5DE52686"/>
    <w:rsid w:val="5DED4540"/>
    <w:rsid w:val="5E00720B"/>
    <w:rsid w:val="5E012896"/>
    <w:rsid w:val="5E0825B2"/>
    <w:rsid w:val="5E0A6049"/>
    <w:rsid w:val="5E156B70"/>
    <w:rsid w:val="5E1574AD"/>
    <w:rsid w:val="5E1822E9"/>
    <w:rsid w:val="5E21165A"/>
    <w:rsid w:val="5E214E1E"/>
    <w:rsid w:val="5E226508"/>
    <w:rsid w:val="5E2368B5"/>
    <w:rsid w:val="5E261D69"/>
    <w:rsid w:val="5E274D5E"/>
    <w:rsid w:val="5E344390"/>
    <w:rsid w:val="5E352EB6"/>
    <w:rsid w:val="5E384714"/>
    <w:rsid w:val="5E400BF0"/>
    <w:rsid w:val="5E4250B0"/>
    <w:rsid w:val="5E4A3E88"/>
    <w:rsid w:val="5E4E539E"/>
    <w:rsid w:val="5E543B00"/>
    <w:rsid w:val="5E5B1CC2"/>
    <w:rsid w:val="5E5B2B5A"/>
    <w:rsid w:val="5E5F0687"/>
    <w:rsid w:val="5E6454D9"/>
    <w:rsid w:val="5E680BE8"/>
    <w:rsid w:val="5E6B7FF0"/>
    <w:rsid w:val="5E783202"/>
    <w:rsid w:val="5E7842EE"/>
    <w:rsid w:val="5E7A1A68"/>
    <w:rsid w:val="5E7E5E5A"/>
    <w:rsid w:val="5E803D55"/>
    <w:rsid w:val="5E854DAE"/>
    <w:rsid w:val="5E88203D"/>
    <w:rsid w:val="5E8A67A3"/>
    <w:rsid w:val="5E92177F"/>
    <w:rsid w:val="5EA36A9B"/>
    <w:rsid w:val="5EA42C37"/>
    <w:rsid w:val="5EA648E2"/>
    <w:rsid w:val="5EA71C01"/>
    <w:rsid w:val="5EB24CFE"/>
    <w:rsid w:val="5EB32415"/>
    <w:rsid w:val="5EB52E6F"/>
    <w:rsid w:val="5EB62D5A"/>
    <w:rsid w:val="5EC37A1E"/>
    <w:rsid w:val="5EC94A60"/>
    <w:rsid w:val="5ED95EEE"/>
    <w:rsid w:val="5EDA3C09"/>
    <w:rsid w:val="5EE55DDE"/>
    <w:rsid w:val="5EF04AC4"/>
    <w:rsid w:val="5EF20E99"/>
    <w:rsid w:val="5EF47473"/>
    <w:rsid w:val="5EFE064F"/>
    <w:rsid w:val="5F034EC6"/>
    <w:rsid w:val="5F061DE5"/>
    <w:rsid w:val="5F09081F"/>
    <w:rsid w:val="5F0B5BA1"/>
    <w:rsid w:val="5F1111AD"/>
    <w:rsid w:val="5F121A0D"/>
    <w:rsid w:val="5F16108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4B3AE6"/>
    <w:rsid w:val="5F520EFF"/>
    <w:rsid w:val="5F527FC9"/>
    <w:rsid w:val="5F531ECF"/>
    <w:rsid w:val="5F57147C"/>
    <w:rsid w:val="5F587105"/>
    <w:rsid w:val="5F5879D8"/>
    <w:rsid w:val="5F6028D5"/>
    <w:rsid w:val="5F61415F"/>
    <w:rsid w:val="5F646936"/>
    <w:rsid w:val="5F6F45FF"/>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E35BE"/>
    <w:rsid w:val="5FA00A10"/>
    <w:rsid w:val="5FA4374A"/>
    <w:rsid w:val="5FA4380A"/>
    <w:rsid w:val="5FA4668F"/>
    <w:rsid w:val="5FA5501A"/>
    <w:rsid w:val="5FAB674F"/>
    <w:rsid w:val="5FB25387"/>
    <w:rsid w:val="5FB42703"/>
    <w:rsid w:val="5FBF3440"/>
    <w:rsid w:val="5FC53509"/>
    <w:rsid w:val="5FC573AD"/>
    <w:rsid w:val="5FCA6E0B"/>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65063"/>
    <w:rsid w:val="60281FCD"/>
    <w:rsid w:val="602876AC"/>
    <w:rsid w:val="602D6A03"/>
    <w:rsid w:val="603215F4"/>
    <w:rsid w:val="603771DA"/>
    <w:rsid w:val="603A1B77"/>
    <w:rsid w:val="60447E31"/>
    <w:rsid w:val="60453DC3"/>
    <w:rsid w:val="604C5236"/>
    <w:rsid w:val="605006BC"/>
    <w:rsid w:val="60584E5C"/>
    <w:rsid w:val="606162D0"/>
    <w:rsid w:val="60674769"/>
    <w:rsid w:val="606E247F"/>
    <w:rsid w:val="606F545C"/>
    <w:rsid w:val="607079E9"/>
    <w:rsid w:val="60734371"/>
    <w:rsid w:val="607761FD"/>
    <w:rsid w:val="60830460"/>
    <w:rsid w:val="6085543E"/>
    <w:rsid w:val="608B5C80"/>
    <w:rsid w:val="60907882"/>
    <w:rsid w:val="609258F0"/>
    <w:rsid w:val="6093287A"/>
    <w:rsid w:val="60934132"/>
    <w:rsid w:val="609517E9"/>
    <w:rsid w:val="60964A19"/>
    <w:rsid w:val="609A2B73"/>
    <w:rsid w:val="609F1E8C"/>
    <w:rsid w:val="60A0440C"/>
    <w:rsid w:val="60A96C6A"/>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2691E"/>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66CAD"/>
    <w:rsid w:val="61E728F9"/>
    <w:rsid w:val="61F3667F"/>
    <w:rsid w:val="61F43F82"/>
    <w:rsid w:val="61F67369"/>
    <w:rsid w:val="61F73028"/>
    <w:rsid w:val="61FB110C"/>
    <w:rsid w:val="61FB56BF"/>
    <w:rsid w:val="61FD1294"/>
    <w:rsid w:val="620B2B74"/>
    <w:rsid w:val="6210415F"/>
    <w:rsid w:val="62185165"/>
    <w:rsid w:val="621D66D4"/>
    <w:rsid w:val="62220209"/>
    <w:rsid w:val="622C2230"/>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873F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23E55"/>
    <w:rsid w:val="637346BC"/>
    <w:rsid w:val="637B5F3C"/>
    <w:rsid w:val="637D75E6"/>
    <w:rsid w:val="63821D61"/>
    <w:rsid w:val="63827E36"/>
    <w:rsid w:val="63842477"/>
    <w:rsid w:val="638823F9"/>
    <w:rsid w:val="63891BA5"/>
    <w:rsid w:val="638B04D2"/>
    <w:rsid w:val="638B1946"/>
    <w:rsid w:val="63912AB2"/>
    <w:rsid w:val="639A118D"/>
    <w:rsid w:val="639B7C08"/>
    <w:rsid w:val="639C1720"/>
    <w:rsid w:val="63A13147"/>
    <w:rsid w:val="63A177A7"/>
    <w:rsid w:val="63A76A3F"/>
    <w:rsid w:val="63A85CD1"/>
    <w:rsid w:val="63AB2A39"/>
    <w:rsid w:val="63B02C42"/>
    <w:rsid w:val="63BE6D07"/>
    <w:rsid w:val="63C51AD9"/>
    <w:rsid w:val="63C54411"/>
    <w:rsid w:val="63C733FE"/>
    <w:rsid w:val="63C9048D"/>
    <w:rsid w:val="63CD27C8"/>
    <w:rsid w:val="63CD4C2D"/>
    <w:rsid w:val="63CF2629"/>
    <w:rsid w:val="63D40E51"/>
    <w:rsid w:val="63D52E6F"/>
    <w:rsid w:val="63D85FCA"/>
    <w:rsid w:val="63DA468D"/>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67E26"/>
    <w:rsid w:val="64491828"/>
    <w:rsid w:val="644A69BC"/>
    <w:rsid w:val="644C372C"/>
    <w:rsid w:val="64521327"/>
    <w:rsid w:val="645256C0"/>
    <w:rsid w:val="645B5DC0"/>
    <w:rsid w:val="645D3A6B"/>
    <w:rsid w:val="64613F6F"/>
    <w:rsid w:val="646310B8"/>
    <w:rsid w:val="646A06E2"/>
    <w:rsid w:val="646C4EF1"/>
    <w:rsid w:val="646C4FB8"/>
    <w:rsid w:val="646D2F37"/>
    <w:rsid w:val="64706C6F"/>
    <w:rsid w:val="6471159B"/>
    <w:rsid w:val="647F0B73"/>
    <w:rsid w:val="64814078"/>
    <w:rsid w:val="64837576"/>
    <w:rsid w:val="6483791E"/>
    <w:rsid w:val="6488470F"/>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9582C"/>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31576"/>
    <w:rsid w:val="661635F6"/>
    <w:rsid w:val="661D3F49"/>
    <w:rsid w:val="66213A5C"/>
    <w:rsid w:val="6621584D"/>
    <w:rsid w:val="6624683A"/>
    <w:rsid w:val="66252267"/>
    <w:rsid w:val="66253DE5"/>
    <w:rsid w:val="662D2EA4"/>
    <w:rsid w:val="662F2BB7"/>
    <w:rsid w:val="6631571B"/>
    <w:rsid w:val="663A7CC1"/>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979B7"/>
    <w:rsid w:val="66CD4873"/>
    <w:rsid w:val="66D553C4"/>
    <w:rsid w:val="66D560FD"/>
    <w:rsid w:val="66D60A0F"/>
    <w:rsid w:val="66D61A8D"/>
    <w:rsid w:val="66D82C1E"/>
    <w:rsid w:val="66DA3497"/>
    <w:rsid w:val="66DB5E77"/>
    <w:rsid w:val="66DC5BF8"/>
    <w:rsid w:val="66DC788A"/>
    <w:rsid w:val="66DD13D0"/>
    <w:rsid w:val="66E173F9"/>
    <w:rsid w:val="66E3226C"/>
    <w:rsid w:val="66E611A7"/>
    <w:rsid w:val="66E80EB0"/>
    <w:rsid w:val="66EC5E36"/>
    <w:rsid w:val="66F569E1"/>
    <w:rsid w:val="66F76034"/>
    <w:rsid w:val="66FB7F14"/>
    <w:rsid w:val="66FD7799"/>
    <w:rsid w:val="67066C06"/>
    <w:rsid w:val="670673B0"/>
    <w:rsid w:val="670A0A70"/>
    <w:rsid w:val="670E7B80"/>
    <w:rsid w:val="671043C8"/>
    <w:rsid w:val="6713591F"/>
    <w:rsid w:val="67157F47"/>
    <w:rsid w:val="67181932"/>
    <w:rsid w:val="671B748C"/>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378FD"/>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80E34"/>
    <w:rsid w:val="68733F18"/>
    <w:rsid w:val="687442EE"/>
    <w:rsid w:val="68772A56"/>
    <w:rsid w:val="687C7996"/>
    <w:rsid w:val="687E1768"/>
    <w:rsid w:val="688E5479"/>
    <w:rsid w:val="68921BB1"/>
    <w:rsid w:val="68932C76"/>
    <w:rsid w:val="689838C3"/>
    <w:rsid w:val="68995D30"/>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EC3A15"/>
    <w:rsid w:val="68ED69A7"/>
    <w:rsid w:val="68FD5593"/>
    <w:rsid w:val="69024B3F"/>
    <w:rsid w:val="69032565"/>
    <w:rsid w:val="690616DE"/>
    <w:rsid w:val="69073414"/>
    <w:rsid w:val="690C4501"/>
    <w:rsid w:val="690F6069"/>
    <w:rsid w:val="6911326A"/>
    <w:rsid w:val="69183F42"/>
    <w:rsid w:val="691B307E"/>
    <w:rsid w:val="691D4548"/>
    <w:rsid w:val="692B3BF3"/>
    <w:rsid w:val="692E2DEB"/>
    <w:rsid w:val="692F1256"/>
    <w:rsid w:val="69301A1D"/>
    <w:rsid w:val="6934218F"/>
    <w:rsid w:val="693755A6"/>
    <w:rsid w:val="693C5AA5"/>
    <w:rsid w:val="693D00F1"/>
    <w:rsid w:val="693E13B7"/>
    <w:rsid w:val="69421566"/>
    <w:rsid w:val="69430240"/>
    <w:rsid w:val="694A6D5C"/>
    <w:rsid w:val="694C7D2C"/>
    <w:rsid w:val="695031E1"/>
    <w:rsid w:val="695048C2"/>
    <w:rsid w:val="6951205B"/>
    <w:rsid w:val="6953741D"/>
    <w:rsid w:val="69552B47"/>
    <w:rsid w:val="6956014F"/>
    <w:rsid w:val="696077C1"/>
    <w:rsid w:val="696F3842"/>
    <w:rsid w:val="69713E8B"/>
    <w:rsid w:val="69731101"/>
    <w:rsid w:val="6974083C"/>
    <w:rsid w:val="697B43D3"/>
    <w:rsid w:val="697D087B"/>
    <w:rsid w:val="69807B1E"/>
    <w:rsid w:val="698D012C"/>
    <w:rsid w:val="6995273A"/>
    <w:rsid w:val="69964F71"/>
    <w:rsid w:val="69992E3D"/>
    <w:rsid w:val="699E14EE"/>
    <w:rsid w:val="699F40EA"/>
    <w:rsid w:val="699F4988"/>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01219"/>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C60C91"/>
    <w:rsid w:val="6AC85F5D"/>
    <w:rsid w:val="6AD20C96"/>
    <w:rsid w:val="6AD312CC"/>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35BFC"/>
    <w:rsid w:val="6B2833E7"/>
    <w:rsid w:val="6B285741"/>
    <w:rsid w:val="6B340EF1"/>
    <w:rsid w:val="6B387F73"/>
    <w:rsid w:val="6B3D06AC"/>
    <w:rsid w:val="6B3F4A94"/>
    <w:rsid w:val="6B444BB7"/>
    <w:rsid w:val="6B447945"/>
    <w:rsid w:val="6B472052"/>
    <w:rsid w:val="6B4A6708"/>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082DD8"/>
    <w:rsid w:val="6C1407B4"/>
    <w:rsid w:val="6C150C0B"/>
    <w:rsid w:val="6C155F31"/>
    <w:rsid w:val="6C206E21"/>
    <w:rsid w:val="6C263A06"/>
    <w:rsid w:val="6C265F77"/>
    <w:rsid w:val="6C3A624E"/>
    <w:rsid w:val="6C3F4795"/>
    <w:rsid w:val="6C431738"/>
    <w:rsid w:val="6C442E2D"/>
    <w:rsid w:val="6C4B106D"/>
    <w:rsid w:val="6C505966"/>
    <w:rsid w:val="6C5C055A"/>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A58FD"/>
    <w:rsid w:val="6D3B5F83"/>
    <w:rsid w:val="6D3C14B2"/>
    <w:rsid w:val="6D416038"/>
    <w:rsid w:val="6D436625"/>
    <w:rsid w:val="6D4720E6"/>
    <w:rsid w:val="6D4A7F79"/>
    <w:rsid w:val="6D4B7436"/>
    <w:rsid w:val="6D4C7937"/>
    <w:rsid w:val="6D500998"/>
    <w:rsid w:val="6D59673E"/>
    <w:rsid w:val="6D5B2AAB"/>
    <w:rsid w:val="6D5D3D5C"/>
    <w:rsid w:val="6D5E64E8"/>
    <w:rsid w:val="6D621A21"/>
    <w:rsid w:val="6D652ED0"/>
    <w:rsid w:val="6D662717"/>
    <w:rsid w:val="6D663299"/>
    <w:rsid w:val="6D770FC8"/>
    <w:rsid w:val="6D780CD8"/>
    <w:rsid w:val="6D790A31"/>
    <w:rsid w:val="6D7A008D"/>
    <w:rsid w:val="6D7D5646"/>
    <w:rsid w:val="6D7D69B3"/>
    <w:rsid w:val="6D807862"/>
    <w:rsid w:val="6D811E5F"/>
    <w:rsid w:val="6D816186"/>
    <w:rsid w:val="6D8F5451"/>
    <w:rsid w:val="6D90338E"/>
    <w:rsid w:val="6D925740"/>
    <w:rsid w:val="6D9D3EE4"/>
    <w:rsid w:val="6D9E7C69"/>
    <w:rsid w:val="6DA71839"/>
    <w:rsid w:val="6DA84071"/>
    <w:rsid w:val="6DB20233"/>
    <w:rsid w:val="6DB523BB"/>
    <w:rsid w:val="6DB81D13"/>
    <w:rsid w:val="6DC54D30"/>
    <w:rsid w:val="6DC65806"/>
    <w:rsid w:val="6DCA2F8B"/>
    <w:rsid w:val="6DD755BF"/>
    <w:rsid w:val="6DDF0294"/>
    <w:rsid w:val="6DE12066"/>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15191"/>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5773F"/>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C3418B"/>
    <w:rsid w:val="6FD36624"/>
    <w:rsid w:val="6FD86BFB"/>
    <w:rsid w:val="6FD964E5"/>
    <w:rsid w:val="6FDC6A2D"/>
    <w:rsid w:val="6FE53444"/>
    <w:rsid w:val="6FE76FE3"/>
    <w:rsid w:val="6FEE1369"/>
    <w:rsid w:val="6FF1528E"/>
    <w:rsid w:val="6FF561D1"/>
    <w:rsid w:val="6FFF10F4"/>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E57754"/>
    <w:rsid w:val="70E57D85"/>
    <w:rsid w:val="70F04773"/>
    <w:rsid w:val="70F147D7"/>
    <w:rsid w:val="71017D80"/>
    <w:rsid w:val="71031632"/>
    <w:rsid w:val="710524E2"/>
    <w:rsid w:val="710B03C6"/>
    <w:rsid w:val="710C1678"/>
    <w:rsid w:val="710F2DDC"/>
    <w:rsid w:val="711604AB"/>
    <w:rsid w:val="712762EB"/>
    <w:rsid w:val="712C3382"/>
    <w:rsid w:val="712D2ADB"/>
    <w:rsid w:val="712D4159"/>
    <w:rsid w:val="71346CB6"/>
    <w:rsid w:val="7136388E"/>
    <w:rsid w:val="713A1F62"/>
    <w:rsid w:val="713B0EA5"/>
    <w:rsid w:val="713B66B3"/>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341E"/>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71EBA"/>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A2DF9"/>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24C2B"/>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44B88"/>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46C5A"/>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930CB"/>
    <w:rsid w:val="73CE1997"/>
    <w:rsid w:val="73D0517B"/>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6FE9"/>
    <w:rsid w:val="741076D1"/>
    <w:rsid w:val="74115578"/>
    <w:rsid w:val="74141C1A"/>
    <w:rsid w:val="74215D04"/>
    <w:rsid w:val="74257C35"/>
    <w:rsid w:val="742915A0"/>
    <w:rsid w:val="742A0965"/>
    <w:rsid w:val="742D019C"/>
    <w:rsid w:val="742D6DB6"/>
    <w:rsid w:val="742E6655"/>
    <w:rsid w:val="742E74D7"/>
    <w:rsid w:val="744642D9"/>
    <w:rsid w:val="74522D94"/>
    <w:rsid w:val="745F7140"/>
    <w:rsid w:val="7467225C"/>
    <w:rsid w:val="746B086B"/>
    <w:rsid w:val="746B2FD5"/>
    <w:rsid w:val="746C430C"/>
    <w:rsid w:val="746D6628"/>
    <w:rsid w:val="74712155"/>
    <w:rsid w:val="74775754"/>
    <w:rsid w:val="74782A8C"/>
    <w:rsid w:val="747C7F5F"/>
    <w:rsid w:val="747F0E23"/>
    <w:rsid w:val="748B71CF"/>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758DC"/>
    <w:rsid w:val="750934A8"/>
    <w:rsid w:val="750A15E4"/>
    <w:rsid w:val="750C76FA"/>
    <w:rsid w:val="7512624A"/>
    <w:rsid w:val="751975AF"/>
    <w:rsid w:val="751E29FC"/>
    <w:rsid w:val="752B3381"/>
    <w:rsid w:val="75325694"/>
    <w:rsid w:val="7534402F"/>
    <w:rsid w:val="75376E15"/>
    <w:rsid w:val="753B454F"/>
    <w:rsid w:val="753D6B7D"/>
    <w:rsid w:val="753D759A"/>
    <w:rsid w:val="75441B17"/>
    <w:rsid w:val="75457EFF"/>
    <w:rsid w:val="754F701B"/>
    <w:rsid w:val="7554481F"/>
    <w:rsid w:val="75594581"/>
    <w:rsid w:val="755A35FA"/>
    <w:rsid w:val="755A5494"/>
    <w:rsid w:val="75625A16"/>
    <w:rsid w:val="7564200E"/>
    <w:rsid w:val="75663FD1"/>
    <w:rsid w:val="75677137"/>
    <w:rsid w:val="75696461"/>
    <w:rsid w:val="756F19B6"/>
    <w:rsid w:val="757540E3"/>
    <w:rsid w:val="75765687"/>
    <w:rsid w:val="757D2DDE"/>
    <w:rsid w:val="75860377"/>
    <w:rsid w:val="75861DE0"/>
    <w:rsid w:val="758F201D"/>
    <w:rsid w:val="75904ECF"/>
    <w:rsid w:val="75912385"/>
    <w:rsid w:val="759739B3"/>
    <w:rsid w:val="75991C4A"/>
    <w:rsid w:val="75994792"/>
    <w:rsid w:val="759A05AB"/>
    <w:rsid w:val="759A4930"/>
    <w:rsid w:val="759B02AD"/>
    <w:rsid w:val="759B0C43"/>
    <w:rsid w:val="759B5CAF"/>
    <w:rsid w:val="75A44ED9"/>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00F0C"/>
    <w:rsid w:val="75F75D00"/>
    <w:rsid w:val="75F8074C"/>
    <w:rsid w:val="7600209C"/>
    <w:rsid w:val="760049B0"/>
    <w:rsid w:val="760200DC"/>
    <w:rsid w:val="760218FE"/>
    <w:rsid w:val="76070A73"/>
    <w:rsid w:val="761014A5"/>
    <w:rsid w:val="7615397F"/>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04223"/>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611B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A5801"/>
    <w:rsid w:val="775B4F33"/>
    <w:rsid w:val="77646225"/>
    <w:rsid w:val="77650E66"/>
    <w:rsid w:val="77653866"/>
    <w:rsid w:val="77665075"/>
    <w:rsid w:val="776A53C0"/>
    <w:rsid w:val="776F458B"/>
    <w:rsid w:val="77721E49"/>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D5A0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5067F"/>
    <w:rsid w:val="787659AD"/>
    <w:rsid w:val="788446BE"/>
    <w:rsid w:val="78862765"/>
    <w:rsid w:val="7888219B"/>
    <w:rsid w:val="78883E95"/>
    <w:rsid w:val="78884186"/>
    <w:rsid w:val="78887070"/>
    <w:rsid w:val="788908C8"/>
    <w:rsid w:val="78942734"/>
    <w:rsid w:val="78945931"/>
    <w:rsid w:val="78993306"/>
    <w:rsid w:val="789E6596"/>
    <w:rsid w:val="78A04E20"/>
    <w:rsid w:val="78A36BF5"/>
    <w:rsid w:val="78A561F3"/>
    <w:rsid w:val="78A953B7"/>
    <w:rsid w:val="78A95882"/>
    <w:rsid w:val="78AB3452"/>
    <w:rsid w:val="78B0117B"/>
    <w:rsid w:val="78B706A3"/>
    <w:rsid w:val="78B744F1"/>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A5499"/>
    <w:rsid w:val="795C0539"/>
    <w:rsid w:val="7968407A"/>
    <w:rsid w:val="796A2D8C"/>
    <w:rsid w:val="796E35F2"/>
    <w:rsid w:val="7970341A"/>
    <w:rsid w:val="7971290E"/>
    <w:rsid w:val="79756908"/>
    <w:rsid w:val="79762768"/>
    <w:rsid w:val="797951A9"/>
    <w:rsid w:val="797C0892"/>
    <w:rsid w:val="7981264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CB5A20"/>
    <w:rsid w:val="79D62785"/>
    <w:rsid w:val="79D93D1F"/>
    <w:rsid w:val="79DF1EBA"/>
    <w:rsid w:val="79E07F61"/>
    <w:rsid w:val="79E12ED9"/>
    <w:rsid w:val="79E352FF"/>
    <w:rsid w:val="79E9023D"/>
    <w:rsid w:val="79ED6701"/>
    <w:rsid w:val="79EE7E8E"/>
    <w:rsid w:val="79F30A3A"/>
    <w:rsid w:val="79F611C8"/>
    <w:rsid w:val="79F934E7"/>
    <w:rsid w:val="79FB2D0B"/>
    <w:rsid w:val="7A027298"/>
    <w:rsid w:val="7A052E17"/>
    <w:rsid w:val="7A097B67"/>
    <w:rsid w:val="7A0F1525"/>
    <w:rsid w:val="7A10389D"/>
    <w:rsid w:val="7A157806"/>
    <w:rsid w:val="7A1C70DF"/>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DF2059"/>
    <w:rsid w:val="7AE55787"/>
    <w:rsid w:val="7AE833BC"/>
    <w:rsid w:val="7AF91DAF"/>
    <w:rsid w:val="7AF9607E"/>
    <w:rsid w:val="7B0072B4"/>
    <w:rsid w:val="7B0211AC"/>
    <w:rsid w:val="7B0C08EF"/>
    <w:rsid w:val="7B0E0FFA"/>
    <w:rsid w:val="7B184DE9"/>
    <w:rsid w:val="7B18546A"/>
    <w:rsid w:val="7B1B467F"/>
    <w:rsid w:val="7B1E73DE"/>
    <w:rsid w:val="7B1F59AA"/>
    <w:rsid w:val="7B214978"/>
    <w:rsid w:val="7B391012"/>
    <w:rsid w:val="7B394905"/>
    <w:rsid w:val="7B3E674E"/>
    <w:rsid w:val="7B471906"/>
    <w:rsid w:val="7B4A5781"/>
    <w:rsid w:val="7B4C03D4"/>
    <w:rsid w:val="7B4E09BF"/>
    <w:rsid w:val="7B4F6A66"/>
    <w:rsid w:val="7B546C0C"/>
    <w:rsid w:val="7B603C7C"/>
    <w:rsid w:val="7B6171E6"/>
    <w:rsid w:val="7B6452CE"/>
    <w:rsid w:val="7B65590F"/>
    <w:rsid w:val="7B6E2AB1"/>
    <w:rsid w:val="7B6F020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AE78E8"/>
    <w:rsid w:val="7BB145C1"/>
    <w:rsid w:val="7BB2241E"/>
    <w:rsid w:val="7BB37F9E"/>
    <w:rsid w:val="7BBD1B11"/>
    <w:rsid w:val="7BC17EBE"/>
    <w:rsid w:val="7BC212EB"/>
    <w:rsid w:val="7BC24C8F"/>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0F792E"/>
    <w:rsid w:val="7C206952"/>
    <w:rsid w:val="7C243453"/>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946C0"/>
    <w:rsid w:val="7D1D7FE9"/>
    <w:rsid w:val="7D292A41"/>
    <w:rsid w:val="7D2A5CCB"/>
    <w:rsid w:val="7D300202"/>
    <w:rsid w:val="7D377B94"/>
    <w:rsid w:val="7D401CAA"/>
    <w:rsid w:val="7D4C05D2"/>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85FC9"/>
    <w:rsid w:val="7D8B7B11"/>
    <w:rsid w:val="7D9F0F7A"/>
    <w:rsid w:val="7DA10A0F"/>
    <w:rsid w:val="7DA843EE"/>
    <w:rsid w:val="7DA948C4"/>
    <w:rsid w:val="7DAB10BD"/>
    <w:rsid w:val="7DAF4AB4"/>
    <w:rsid w:val="7DB92128"/>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66523"/>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2F1780"/>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2024-05-13T14:59:36Z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